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AB1626" w:rsidP="00AB1626">
      <w:pPr>
        <w:pStyle w:val="Title"/>
      </w:pPr>
      <w:bookmarkStart w:id="0" w:name="_GoBack"/>
      <w:bookmarkEnd w:id="0"/>
      <w:r>
        <w:t>Sonoma</w:t>
      </w:r>
      <w:r w:rsidR="00601364">
        <w:t xml:space="preserve"> </w:t>
      </w:r>
      <w:r w:rsidR="004D2317">
        <w:t>C</w:t>
      </w:r>
      <w:r w:rsidR="004D2317" w:rsidRPr="00FB0FF1">
        <w:t xml:space="preserve">ounty: </w:t>
      </w:r>
      <w:r w:rsidR="005B3EAA">
        <w:t>Data Notebook 2014</w:t>
      </w:r>
    </w:p>
    <w:p w:rsidR="004D2317" w:rsidRPr="00FB0FF1" w:rsidRDefault="004D2317" w:rsidP="00AB1626">
      <w:pPr>
        <w:pStyle w:val="Subtitle"/>
      </w:pPr>
      <w:r>
        <w:t>for California</w:t>
      </w:r>
    </w:p>
    <w:p w:rsidR="004D2317" w:rsidRPr="0022034C" w:rsidRDefault="004D2317" w:rsidP="00AB1626">
      <w:pPr>
        <w:jc w:val="center"/>
        <w:rPr>
          <w:rFonts w:ascii="Bodoni MT Black" w:hAnsi="Bodoni MT Black"/>
          <w:smallCaps/>
          <w:sz w:val="40"/>
          <w:szCs w:val="40"/>
        </w:rPr>
      </w:pPr>
      <w:r w:rsidRPr="0022034C">
        <w:rPr>
          <w:rFonts w:ascii="Bodoni MT Black" w:hAnsi="Bodoni MT Black"/>
          <w:smallCaps/>
          <w:sz w:val="40"/>
          <w:szCs w:val="40"/>
        </w:rPr>
        <w:t>Mental Health Boards and Commissions</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8858C4" w:rsidP="00E71203">
      <w:pPr>
        <w:rPr>
          <w:sz w:val="22"/>
          <w:szCs w:val="22"/>
        </w:rPr>
      </w:pPr>
      <w:r>
        <w:rPr>
          <w:noProof/>
          <w:sz w:val="22"/>
          <w:szCs w:val="22"/>
        </w:rPr>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0D72F4" w:rsidRDefault="000D72F4">
                  <w:pPr>
                    <w:rPr>
                      <w:color w:val="4F81BD" w:themeColor="accent1"/>
                      <w:sz w:val="20"/>
                      <w:szCs w:val="20"/>
                    </w:rPr>
                  </w:pPr>
                  <w:r>
                    <w:rPr>
                      <w:noProof/>
                    </w:rPr>
                    <w:drawing>
                      <wp:inline distT="0" distB="0" distL="0" distR="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v:textbox>
            <w10:wrap type="square" anchorx="margin" anchory="margin"/>
          </v:rect>
        </w:pict>
      </w:r>
      <w:r w:rsidR="00E71203">
        <w:rPr>
          <w:sz w:val="22"/>
          <w:szCs w:val="22"/>
        </w:rPr>
        <w:t xml:space="preserve">      </w:t>
      </w:r>
      <w:r w:rsidR="007B0FE3">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8858C4" w:rsidP="00726A10">
      <w:pPr>
        <w:rPr>
          <w:sz w:val="22"/>
          <w:szCs w:val="22"/>
        </w:rPr>
      </w:pPr>
      <w:hyperlink r:id="rId11"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2"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3"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t>This Page Intentionally Left Blank</w:t>
      </w:r>
      <w:r w:rsidR="00584ABF" w:rsidRPr="00BF3EC3">
        <w:br w:type="page"/>
      </w:r>
    </w:p>
    <w:p w:rsidR="003644DB" w:rsidRPr="009C5BDA" w:rsidRDefault="00AB1626" w:rsidP="003644DB">
      <w:pPr>
        <w:pStyle w:val="Title"/>
      </w:pPr>
      <w:r>
        <w:t>Sonoma</w:t>
      </w:r>
      <w:r w:rsidR="003644DB">
        <w:t xml:space="preserve"> 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AB1626" w:rsidRDefault="003644DB" w:rsidP="003644DB">
      <w:pPr>
        <w:rPr>
          <w:rFonts w:eastAsia="Times New Roman"/>
        </w:rPr>
      </w:pPr>
      <w:r w:rsidRPr="00A9360B">
        <w:t xml:space="preserve">County Name:  </w:t>
      </w:r>
      <w:r w:rsidR="00AB1626">
        <w:rPr>
          <w:b/>
          <w:sz w:val="28"/>
          <w:szCs w:val="28"/>
        </w:rPr>
        <w:t>Sonoma</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AB1626" w:rsidRPr="00AB1626">
        <w:rPr>
          <w:rFonts w:eastAsia="Times New Roman"/>
        </w:rPr>
        <w:t>492,337</w:t>
      </w:r>
    </w:p>
    <w:p w:rsidR="003644DB" w:rsidRDefault="003644DB" w:rsidP="003644DB">
      <w:r>
        <w:t>Website for County Department</w:t>
      </w:r>
      <w:r w:rsidRPr="00A9360B">
        <w:t xml:space="preserve"> of Mental Health</w:t>
      </w:r>
      <w:r>
        <w:t xml:space="preserve"> (MH) </w:t>
      </w:r>
      <w:r w:rsidRPr="003644DB">
        <w:rPr>
          <w:u w:val="single"/>
        </w:rPr>
        <w:t>or</w:t>
      </w:r>
      <w:r>
        <w:t xml:space="preserve"> </w:t>
      </w:r>
      <w:r w:rsidRPr="00A9360B">
        <w:t>Behavioral Health:</w:t>
      </w:r>
    </w:p>
    <w:p w:rsidR="00744405" w:rsidRDefault="008858C4" w:rsidP="00744405">
      <w:pPr>
        <w:jc w:val="center"/>
      </w:pPr>
      <w:hyperlink r:id="rId14" w:history="1">
        <w:r w:rsidR="00744405" w:rsidRPr="00CC67A5">
          <w:rPr>
            <w:rStyle w:val="Hyperlink"/>
          </w:rPr>
          <w:t>http://www.sonoma-county.org/health/about/behavioralhealth.asp</w:t>
        </w:r>
      </w:hyperlink>
      <w:r w:rsidR="00744405">
        <w:t xml:space="preserve">. </w:t>
      </w:r>
    </w:p>
    <w:p w:rsidR="003644DB" w:rsidRPr="00A9360B" w:rsidRDefault="003644DB" w:rsidP="003644DB">
      <w:r w:rsidRPr="00A9360B">
        <w:softHyphen/>
      </w:r>
      <w:r w:rsidRPr="00A9360B">
        <w:softHyphen/>
      </w:r>
      <w:r w:rsidRPr="00A9360B">
        <w:softHyphen/>
      </w:r>
      <w:r w:rsidRPr="00A9360B">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0D72F4">
        <w:softHyphen/>
      </w:r>
      <w:r w:rsidR="001241BC" w:rsidRPr="001241BC">
        <w:t xml:space="preserve"> </w:t>
      </w:r>
      <w:r w:rsidRPr="00A9360B">
        <w:t xml:space="preserve">Website for Local </w:t>
      </w:r>
      <w:r>
        <w:t xml:space="preserve">County </w:t>
      </w:r>
      <w:r w:rsidRPr="00A9360B">
        <w:t xml:space="preserve">MH Data and Reports: </w:t>
      </w:r>
    </w:p>
    <w:p w:rsidR="003644DB" w:rsidRPr="00A9360B" w:rsidRDefault="008858C4" w:rsidP="003644DB">
      <w:pPr>
        <w:ind w:firstLine="720"/>
      </w:pPr>
      <w:hyperlink r:id="rId15" w:history="1">
        <w:r w:rsidR="000D72F4" w:rsidRPr="00CC67A5">
          <w:rPr>
            <w:rStyle w:val="Hyperlink"/>
          </w:rPr>
          <w:t>http://www.sonoma-county.org/health/publications/index.asp</w:t>
        </w:r>
      </w:hyperlink>
      <w:r w:rsidR="000D72F4">
        <w:t xml:space="preserve">. </w:t>
      </w:r>
    </w:p>
    <w:p w:rsidR="000D72F4"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Default="008858C4" w:rsidP="000D72F4">
      <w:pPr>
        <w:ind w:left="720"/>
      </w:pPr>
      <w:hyperlink r:id="rId16" w:history="1">
        <w:r w:rsidR="000D72F4" w:rsidRPr="00CC67A5">
          <w:rPr>
            <w:rStyle w:val="Hyperlink"/>
          </w:rPr>
          <w:t>http://www.sonoma-county.org/health/meetings/mhboard.asp</w:t>
        </w:r>
      </w:hyperlink>
      <w:r w:rsidR="000D72F4">
        <w:t>.</w:t>
      </w:r>
    </w:p>
    <w:p w:rsidR="003644DB" w:rsidRDefault="003644DB" w:rsidP="003644DB">
      <w:r>
        <w:t xml:space="preserve">Specialty MH Data </w:t>
      </w:r>
      <w:r w:rsidR="001C4A7D">
        <w:t xml:space="preserve">from </w:t>
      </w:r>
      <w:r>
        <w:t xml:space="preserve">review Year 2013-2014:   </w:t>
      </w:r>
      <w:hyperlink r:id="rId17" w:history="1">
        <w:r w:rsidRPr="00B7473B">
          <w:rPr>
            <w:rStyle w:val="Hyperlink"/>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AB1626">
        <w:t xml:space="preserve"> </w:t>
      </w:r>
      <w:r w:rsidR="00363B4E">
        <w:tab/>
      </w:r>
      <w:r w:rsidR="00363B4E">
        <w:tab/>
      </w:r>
      <w:r w:rsidR="00AB1626">
        <w:t>84,131</w:t>
      </w:r>
      <w:r>
        <w:t xml:space="preserve"> </w:t>
      </w:r>
    </w:p>
    <w:p w:rsidR="003644DB" w:rsidRDefault="003644DB" w:rsidP="003644DB">
      <w:pPr>
        <w:ind w:firstLine="720"/>
      </w:pPr>
      <w:r w:rsidRPr="00A9360B">
        <w:t>Average number Medi-Cal eli</w:t>
      </w:r>
      <w:r>
        <w:t xml:space="preserve">gible persons per month:  </w:t>
      </w:r>
      <w:r w:rsidR="00363B4E">
        <w:tab/>
      </w:r>
      <w:r w:rsidR="000D72F4">
        <w:tab/>
      </w:r>
      <w:r w:rsidR="00AB1626">
        <w:t>67,510</w:t>
      </w:r>
    </w:p>
    <w:p w:rsidR="003644DB" w:rsidRPr="00A9360B" w:rsidRDefault="003644DB" w:rsidP="003644DB">
      <w:r>
        <w:tab/>
        <w:t>Percent of Medi-Cal eligible persons who were:</w:t>
      </w:r>
    </w:p>
    <w:p w:rsidR="003644DB" w:rsidRDefault="00AB1626" w:rsidP="000D72F4">
      <w:pPr>
        <w:spacing w:after="0" w:line="240" w:lineRule="auto"/>
      </w:pPr>
      <w:r>
        <w:tab/>
      </w:r>
      <w:r>
        <w:tab/>
        <w:t xml:space="preserve">Children, ages 0-17:  </w:t>
      </w:r>
      <w:r w:rsidR="003644DB">
        <w:t xml:space="preserve"> </w:t>
      </w:r>
      <w:r w:rsidR="00B8602A">
        <w:t xml:space="preserve">45.8 </w:t>
      </w:r>
      <w:r w:rsidR="003644DB">
        <w:t>%</w:t>
      </w:r>
    </w:p>
    <w:p w:rsidR="003644DB" w:rsidRDefault="00AB1626" w:rsidP="000D72F4">
      <w:pPr>
        <w:spacing w:after="0" w:line="240" w:lineRule="auto"/>
        <w:ind w:left="720" w:firstLine="720"/>
      </w:pPr>
      <w:r>
        <w:t xml:space="preserve">Adults, ages 18-59:  </w:t>
      </w:r>
      <w:r w:rsidR="003644DB">
        <w:t xml:space="preserve"> </w:t>
      </w:r>
      <w:r w:rsidR="00B8602A">
        <w:t xml:space="preserve">39.9 </w:t>
      </w:r>
      <w:r w:rsidR="003644DB">
        <w:t>%</w:t>
      </w:r>
    </w:p>
    <w:p w:rsidR="003644DB" w:rsidRDefault="00AB1626" w:rsidP="000D72F4">
      <w:pPr>
        <w:spacing w:after="0" w:line="240" w:lineRule="auto"/>
        <w:ind w:left="720" w:firstLine="720"/>
        <w:rPr>
          <w:u w:val="single"/>
        </w:rPr>
      </w:pPr>
      <w:r>
        <w:t xml:space="preserve">Adults, Ages 60 and Over:  </w:t>
      </w:r>
      <w:r w:rsidR="003644DB">
        <w:t xml:space="preserve"> </w:t>
      </w:r>
      <w:r w:rsidR="00B8602A">
        <w:t xml:space="preserve">14.3 </w:t>
      </w:r>
      <w:r w:rsidR="003644DB">
        <w:t>%</w:t>
      </w:r>
      <w:r w:rsidR="003644DB" w:rsidRPr="00A9360B">
        <w:tab/>
      </w:r>
      <w:r w:rsidR="003644DB" w:rsidRPr="00A9360B">
        <w:tab/>
      </w:r>
    </w:p>
    <w:p w:rsidR="000D72F4" w:rsidRDefault="000D72F4" w:rsidP="003644DB"/>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AB1626">
        <w:t xml:space="preserve">  </w:t>
      </w:r>
      <w:r w:rsidRPr="00A9360B">
        <w:t xml:space="preserve"> </w:t>
      </w:r>
    </w:p>
    <w:p w:rsidR="003644DB" w:rsidRDefault="003644DB" w:rsidP="003644DB">
      <w:r w:rsidRPr="00A9360B">
        <w:tab/>
      </w:r>
      <w:r>
        <w:t>Percent of Specialty MH service recipients who were:</w:t>
      </w:r>
      <w:r w:rsidR="00AB1626">
        <w:t xml:space="preserve">  </w:t>
      </w:r>
      <w:r w:rsidR="000D72F4">
        <w:tab/>
      </w:r>
      <w:r w:rsidR="000D72F4">
        <w:tab/>
      </w:r>
      <w:r w:rsidR="00AB1626">
        <w:t>3,010</w:t>
      </w:r>
    </w:p>
    <w:p w:rsidR="003644DB" w:rsidRDefault="003644DB" w:rsidP="000D72F4">
      <w:pPr>
        <w:spacing w:after="0" w:line="240" w:lineRule="auto"/>
        <w:ind w:left="720" w:firstLine="720"/>
      </w:pPr>
      <w:r>
        <w:t>Children 0-17</w:t>
      </w:r>
      <w:r w:rsidRPr="00A9360B">
        <w:t>:</w:t>
      </w:r>
      <w:r>
        <w:t xml:space="preserve"> </w:t>
      </w:r>
      <w:r w:rsidRPr="00A9360B">
        <w:t xml:space="preserve"> </w:t>
      </w:r>
      <w:r w:rsidR="003A0022">
        <w:t xml:space="preserve"> </w:t>
      </w:r>
      <w:r w:rsidR="00B8602A">
        <w:t xml:space="preserve">40.9 </w:t>
      </w:r>
      <w:r>
        <w:t>%</w:t>
      </w:r>
    </w:p>
    <w:p w:rsidR="003644DB" w:rsidRDefault="003644DB" w:rsidP="000D72F4">
      <w:pPr>
        <w:spacing w:after="0" w:line="240" w:lineRule="auto"/>
        <w:ind w:left="720" w:firstLine="720"/>
      </w:pPr>
      <w:r w:rsidRPr="00A9360B">
        <w:t xml:space="preserve">Adults 18-59: </w:t>
      </w:r>
      <w:r w:rsidR="00AB1626">
        <w:t xml:space="preserve"> </w:t>
      </w:r>
      <w:r>
        <w:t xml:space="preserve"> </w:t>
      </w:r>
      <w:r w:rsidR="00B8602A">
        <w:t xml:space="preserve">48.9 </w:t>
      </w:r>
      <w:r>
        <w:t>%</w:t>
      </w:r>
    </w:p>
    <w:p w:rsidR="00CB31BC" w:rsidRDefault="003644DB" w:rsidP="000D72F4">
      <w:pPr>
        <w:spacing w:after="0" w:line="240" w:lineRule="auto"/>
        <w:ind w:left="720" w:firstLine="720"/>
      </w:pPr>
      <w:r w:rsidRPr="00A9360B">
        <w:t xml:space="preserve">Adults 60 and Over: </w:t>
      </w:r>
      <w:r w:rsidR="00AB1626">
        <w:t xml:space="preserve"> </w:t>
      </w:r>
      <w:r w:rsidR="00B8602A">
        <w:t>10.2</w:t>
      </w:r>
      <w:r>
        <w:t xml:space="preserve"> %</w:t>
      </w:r>
      <w:r w:rsidR="00CB31BC">
        <w:br w:type="page"/>
      </w:r>
    </w:p>
    <w:p w:rsidR="00C37241" w:rsidRPr="00CB31BC" w:rsidRDefault="00E50DE2" w:rsidP="00CB31BC">
      <w:pPr>
        <w:jc w:val="center"/>
        <w:rPr>
          <w:b/>
          <w:i/>
          <w:u w:val="single"/>
        </w:rPr>
      </w:pPr>
      <w:r w:rsidRPr="006C0082">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8"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99259E"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99259E"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b/>
          <w:color w:val="000000"/>
        </w:rPr>
      </w:pPr>
      <w:r w:rsidRPr="00C43A43">
        <w:rPr>
          <w:rFonts w:eastAsia="Times New Roman"/>
          <w:color w:val="000000"/>
        </w:rPr>
        <w:t> </w:t>
      </w:r>
      <w:r w:rsidRPr="00C43A43">
        <w:rPr>
          <w:rFonts w:eastAsia="Times New Roman"/>
          <w:b/>
          <w:color w:val="000000"/>
        </w:rPr>
        <w:t xml:space="preserve">1)  Please describe any efforts in your county to improve the physical health of clients.  </w:t>
      </w:r>
    </w:p>
    <w:p w:rsidR="009D71D4" w:rsidRPr="00A908BB" w:rsidRDefault="009D71D4" w:rsidP="00DB13A0">
      <w:pPr>
        <w:tabs>
          <w:tab w:val="left" w:pos="1200"/>
          <w:tab w:val="center" w:pos="4320"/>
        </w:tabs>
        <w:spacing w:after="0" w:line="240" w:lineRule="auto"/>
        <w:rPr>
          <w:rFonts w:asciiTheme="minorHAnsi" w:hAnsiTheme="minorHAnsi" w:cstheme="minorHAnsi"/>
          <w:b/>
        </w:rPr>
      </w:pPr>
      <w:r w:rsidRPr="00A908BB">
        <w:rPr>
          <w:rFonts w:asciiTheme="minorHAnsi" w:hAnsiTheme="minorHAnsi" w:cstheme="minorHAnsi"/>
          <w:b/>
        </w:rPr>
        <w:t xml:space="preserve">Sonoma County Behavioral Health Division (SC-BHD) </w:t>
      </w:r>
      <w:r w:rsidR="00F175C5" w:rsidRPr="00A908BB">
        <w:rPr>
          <w:rFonts w:asciiTheme="minorHAnsi" w:hAnsiTheme="minorHAnsi" w:cstheme="minorHAnsi"/>
          <w:b/>
        </w:rPr>
        <w:t xml:space="preserve">invests over 1 million dollars into Sonoma County’s Federally Qualified Health Centers and Indian Health Services, locally referred to as </w:t>
      </w:r>
      <w:r w:rsidRPr="00A908BB">
        <w:rPr>
          <w:rFonts w:asciiTheme="minorHAnsi" w:hAnsiTheme="minorHAnsi" w:cstheme="minorHAnsi"/>
          <w:b/>
        </w:rPr>
        <w:t>community health centers (CHC)</w:t>
      </w:r>
      <w:r w:rsidR="00F175C5" w:rsidRPr="00A908BB">
        <w:rPr>
          <w:rFonts w:asciiTheme="minorHAnsi" w:hAnsiTheme="minorHAnsi" w:cstheme="minorHAnsi"/>
          <w:b/>
        </w:rPr>
        <w:t xml:space="preserve">. </w:t>
      </w:r>
      <w:r w:rsidRPr="00A908BB">
        <w:rPr>
          <w:rFonts w:asciiTheme="minorHAnsi" w:hAnsiTheme="minorHAnsi" w:cstheme="minorHAnsi"/>
          <w:b/>
        </w:rPr>
        <w:t xml:space="preserve"> </w:t>
      </w:r>
      <w:r w:rsidR="00BC1A5F" w:rsidRPr="00A908BB">
        <w:rPr>
          <w:rFonts w:asciiTheme="minorHAnsi" w:hAnsiTheme="minorHAnsi" w:cstheme="minorHAnsi"/>
          <w:b/>
        </w:rPr>
        <w:t>SC-BHD both</w:t>
      </w:r>
      <w:r w:rsidR="00F175C5" w:rsidRPr="00A908BB">
        <w:rPr>
          <w:rFonts w:asciiTheme="minorHAnsi" w:hAnsiTheme="minorHAnsi" w:cstheme="minorHAnsi"/>
          <w:b/>
        </w:rPr>
        <w:t xml:space="preserve"> co-locates mental health staff inside </w:t>
      </w:r>
      <w:r w:rsidR="00BC1A5F" w:rsidRPr="00A908BB">
        <w:rPr>
          <w:rFonts w:asciiTheme="minorHAnsi" w:hAnsiTheme="minorHAnsi" w:cstheme="minorHAnsi"/>
          <w:b/>
        </w:rPr>
        <w:t>and</w:t>
      </w:r>
      <w:r w:rsidR="00FF7392" w:rsidRPr="00A908BB">
        <w:rPr>
          <w:rFonts w:asciiTheme="minorHAnsi" w:hAnsiTheme="minorHAnsi" w:cstheme="minorHAnsi"/>
          <w:b/>
        </w:rPr>
        <w:t xml:space="preserve"> provides </w:t>
      </w:r>
      <w:r w:rsidRPr="00A908BB">
        <w:rPr>
          <w:rFonts w:asciiTheme="minorHAnsi" w:hAnsiTheme="minorHAnsi" w:cstheme="minorHAnsi"/>
          <w:b/>
        </w:rPr>
        <w:t xml:space="preserve">funds </w:t>
      </w:r>
      <w:r w:rsidR="00FF7392" w:rsidRPr="00A908BB">
        <w:rPr>
          <w:rFonts w:asciiTheme="minorHAnsi" w:hAnsiTheme="minorHAnsi" w:cstheme="minorHAnsi"/>
          <w:b/>
        </w:rPr>
        <w:t xml:space="preserve">directly to </w:t>
      </w:r>
      <w:r w:rsidRPr="00A908BB">
        <w:rPr>
          <w:rFonts w:asciiTheme="minorHAnsi" w:hAnsiTheme="minorHAnsi" w:cstheme="minorHAnsi"/>
          <w:b/>
        </w:rPr>
        <w:t>CHC</w:t>
      </w:r>
      <w:r w:rsidR="00F175C5" w:rsidRPr="00A908BB">
        <w:rPr>
          <w:rFonts w:asciiTheme="minorHAnsi" w:hAnsiTheme="minorHAnsi" w:cstheme="minorHAnsi"/>
          <w:b/>
        </w:rPr>
        <w:t>s</w:t>
      </w:r>
      <w:r w:rsidRPr="00A908BB">
        <w:rPr>
          <w:rFonts w:asciiTheme="minorHAnsi" w:hAnsiTheme="minorHAnsi" w:cstheme="minorHAnsi"/>
          <w:b/>
        </w:rPr>
        <w:t xml:space="preserve"> to hire staff to support the integration of behavioral health and physical health.  </w:t>
      </w:r>
    </w:p>
    <w:p w:rsidR="00DB13A0" w:rsidRPr="00A908BB" w:rsidRDefault="00DB13A0" w:rsidP="00DB13A0">
      <w:pPr>
        <w:shd w:val="clear" w:color="auto" w:fill="FFFFFF"/>
        <w:spacing w:after="0" w:line="240" w:lineRule="auto"/>
        <w:rPr>
          <w:rFonts w:asciiTheme="minorHAnsi" w:hAnsiTheme="minorHAnsi" w:cstheme="minorHAnsi"/>
          <w:b/>
        </w:rPr>
      </w:pPr>
    </w:p>
    <w:p w:rsidR="00FF7392" w:rsidRPr="00A908BB" w:rsidRDefault="009D71D4" w:rsidP="00DB13A0">
      <w:pPr>
        <w:shd w:val="clear" w:color="auto" w:fill="FFFFFF"/>
        <w:spacing w:after="0" w:line="240" w:lineRule="auto"/>
        <w:rPr>
          <w:rFonts w:asciiTheme="minorHAnsi" w:hAnsiTheme="minorHAnsi" w:cstheme="minorHAnsi"/>
          <w:b/>
        </w:rPr>
      </w:pPr>
      <w:r w:rsidRPr="00A908BB">
        <w:rPr>
          <w:rFonts w:asciiTheme="minorHAnsi" w:hAnsiTheme="minorHAnsi" w:cstheme="minorHAnsi"/>
          <w:b/>
        </w:rPr>
        <w:t xml:space="preserve">The co-location of staff </w:t>
      </w:r>
      <w:r w:rsidR="00F175C5" w:rsidRPr="00A908BB">
        <w:rPr>
          <w:rFonts w:asciiTheme="minorHAnsi" w:hAnsiTheme="minorHAnsi" w:cstheme="minorHAnsi"/>
          <w:b/>
        </w:rPr>
        <w:t xml:space="preserve">includes, psychiatrist, social workers, both licensed and unlicensed, </w:t>
      </w:r>
      <w:r w:rsidR="00FF7392" w:rsidRPr="00A908BB">
        <w:rPr>
          <w:rFonts w:asciiTheme="minorHAnsi" w:hAnsiTheme="minorHAnsi" w:cstheme="minorHAnsi"/>
          <w:b/>
        </w:rPr>
        <w:t xml:space="preserve">to meet three goals: </w:t>
      </w:r>
    </w:p>
    <w:p w:rsidR="00AC4B91" w:rsidRPr="00A908BB" w:rsidRDefault="00FF7392" w:rsidP="00DB13A0">
      <w:pPr>
        <w:shd w:val="clear" w:color="auto" w:fill="FFFFFF"/>
        <w:spacing w:after="0" w:line="240" w:lineRule="auto"/>
        <w:ind w:left="720"/>
        <w:rPr>
          <w:rFonts w:asciiTheme="minorHAnsi" w:hAnsiTheme="minorHAnsi" w:cstheme="minorHAnsi"/>
          <w:b/>
        </w:rPr>
      </w:pPr>
      <w:r w:rsidRPr="00A908BB">
        <w:rPr>
          <w:rFonts w:asciiTheme="minorHAnsi" w:hAnsiTheme="minorHAnsi" w:cstheme="minorHAnsi"/>
          <w:b/>
        </w:rPr>
        <w:t xml:space="preserve">1) </w:t>
      </w:r>
      <w:r w:rsidR="00AC4B91" w:rsidRPr="00A908BB">
        <w:rPr>
          <w:rFonts w:asciiTheme="minorHAnsi" w:hAnsiTheme="minorHAnsi" w:cstheme="minorHAnsi"/>
          <w:b/>
        </w:rPr>
        <w:t>E</w:t>
      </w:r>
      <w:r w:rsidRPr="00A908BB">
        <w:rPr>
          <w:rFonts w:asciiTheme="minorHAnsi" w:hAnsiTheme="minorHAnsi" w:cstheme="minorHAnsi"/>
          <w:b/>
        </w:rPr>
        <w:t xml:space="preserve">nsure specialty mental health clients receive </w:t>
      </w:r>
      <w:r w:rsidR="009D71D4" w:rsidRPr="00A908BB">
        <w:rPr>
          <w:rFonts w:asciiTheme="minorHAnsi" w:hAnsiTheme="minorHAnsi" w:cstheme="minorHAnsi"/>
          <w:b/>
        </w:rPr>
        <w:t>appropriate</w:t>
      </w:r>
      <w:r w:rsidRPr="00A908BB">
        <w:rPr>
          <w:rFonts w:asciiTheme="minorHAnsi" w:hAnsiTheme="minorHAnsi" w:cstheme="minorHAnsi"/>
          <w:b/>
        </w:rPr>
        <w:t>, integrated physical health care</w:t>
      </w:r>
    </w:p>
    <w:p w:rsidR="00AC4B91" w:rsidRPr="00A908BB" w:rsidRDefault="00AC4B91" w:rsidP="00DB13A0">
      <w:pPr>
        <w:shd w:val="clear" w:color="auto" w:fill="FFFFFF"/>
        <w:spacing w:after="0" w:line="240" w:lineRule="auto"/>
        <w:ind w:left="720"/>
        <w:rPr>
          <w:rFonts w:asciiTheme="minorHAnsi" w:hAnsiTheme="minorHAnsi" w:cstheme="minorHAnsi"/>
          <w:b/>
        </w:rPr>
      </w:pPr>
      <w:r w:rsidRPr="00A908BB">
        <w:rPr>
          <w:rFonts w:asciiTheme="minorHAnsi" w:hAnsiTheme="minorHAnsi" w:cstheme="minorHAnsi"/>
          <w:b/>
        </w:rPr>
        <w:t xml:space="preserve">2) Ensure coordination of health care efforts including good </w:t>
      </w:r>
      <w:r w:rsidR="009D71D4" w:rsidRPr="00A908BB">
        <w:rPr>
          <w:rFonts w:asciiTheme="minorHAnsi" w:hAnsiTheme="minorHAnsi" w:cstheme="minorHAnsi"/>
          <w:b/>
        </w:rPr>
        <w:t>communication, and treatment planning</w:t>
      </w:r>
    </w:p>
    <w:p w:rsidR="00C43A43" w:rsidRPr="00A908BB" w:rsidRDefault="009D71D4" w:rsidP="00DB13A0">
      <w:pPr>
        <w:shd w:val="clear" w:color="auto" w:fill="FFFFFF"/>
        <w:spacing w:after="0" w:line="240" w:lineRule="auto"/>
        <w:ind w:left="720"/>
        <w:rPr>
          <w:rFonts w:asciiTheme="minorHAnsi" w:hAnsiTheme="minorHAnsi" w:cstheme="minorHAnsi"/>
          <w:b/>
        </w:rPr>
      </w:pPr>
      <w:r w:rsidRPr="00A908BB">
        <w:rPr>
          <w:rFonts w:asciiTheme="minorHAnsi" w:hAnsiTheme="minorHAnsi" w:cstheme="minorHAnsi"/>
          <w:b/>
        </w:rPr>
        <w:t xml:space="preserve"> </w:t>
      </w:r>
      <w:r w:rsidR="00AC4B91" w:rsidRPr="00A908BB">
        <w:rPr>
          <w:rFonts w:asciiTheme="minorHAnsi" w:hAnsiTheme="minorHAnsi" w:cstheme="minorHAnsi"/>
          <w:b/>
        </w:rPr>
        <w:t>3) S</w:t>
      </w:r>
      <w:r w:rsidRPr="00A908BB">
        <w:rPr>
          <w:rFonts w:asciiTheme="minorHAnsi" w:hAnsiTheme="minorHAnsi" w:cstheme="minorHAnsi"/>
          <w:b/>
        </w:rPr>
        <w:t xml:space="preserve">upport the bi-directional referral process ensuring smooth transition of clients between SC-BHD and CHCs </w:t>
      </w:r>
      <w:r w:rsidR="00AC4B91" w:rsidRPr="00A908BB">
        <w:rPr>
          <w:rFonts w:asciiTheme="minorHAnsi" w:hAnsiTheme="minorHAnsi" w:cstheme="minorHAnsi"/>
          <w:b/>
        </w:rPr>
        <w:t>for clients moving through care</w:t>
      </w:r>
      <w:r w:rsidRPr="00A908BB">
        <w:rPr>
          <w:rFonts w:asciiTheme="minorHAnsi" w:hAnsiTheme="minorHAnsi" w:cstheme="minorHAnsi"/>
          <w:b/>
        </w:rPr>
        <w:t xml:space="preserve">  </w:t>
      </w:r>
    </w:p>
    <w:p w:rsidR="009D71D4" w:rsidRPr="00A908BB" w:rsidRDefault="009D71D4" w:rsidP="00DB13A0">
      <w:pPr>
        <w:shd w:val="clear" w:color="auto" w:fill="FFFFFF"/>
        <w:spacing w:after="0" w:line="240" w:lineRule="auto"/>
        <w:rPr>
          <w:rFonts w:asciiTheme="minorHAnsi" w:hAnsiTheme="minorHAnsi" w:cstheme="minorHAnsi"/>
        </w:rPr>
      </w:pPr>
    </w:p>
    <w:p w:rsidR="001242E5" w:rsidRPr="00A908BB" w:rsidRDefault="001242E5" w:rsidP="00DB13A0">
      <w:pPr>
        <w:spacing w:after="0" w:line="240" w:lineRule="auto"/>
        <w:rPr>
          <w:rFonts w:ascii="Calibri" w:hAnsi="Calibri" w:cs="Calibri"/>
        </w:rPr>
      </w:pPr>
      <w:r w:rsidRPr="00A908BB">
        <w:rPr>
          <w:rFonts w:asciiTheme="minorHAnsi" w:hAnsiTheme="minorHAnsi" w:cstheme="minorHAnsi"/>
          <w:b/>
        </w:rPr>
        <w:t xml:space="preserve">Beginning in </w:t>
      </w:r>
      <w:r w:rsidRPr="00A908BB">
        <w:rPr>
          <w:rFonts w:ascii="Calibri" w:hAnsi="Calibri" w:cs="Calibri"/>
          <w:b/>
        </w:rPr>
        <w:t>2011/12</w:t>
      </w:r>
      <w:r w:rsidRPr="00A908BB">
        <w:rPr>
          <w:rFonts w:asciiTheme="minorHAnsi" w:hAnsiTheme="minorHAnsi" w:cstheme="minorHAnsi"/>
          <w:b/>
        </w:rPr>
        <w:t xml:space="preserve"> SC-BHD has partnered with Santa Rosa Community Health Centers (SRCHC) to provide physical health care inside of SC-BHD largest specialty mental health outpatient program.  </w:t>
      </w:r>
      <w:r w:rsidR="0099300A" w:rsidRPr="00A908BB">
        <w:rPr>
          <w:rFonts w:ascii="Calibri" w:hAnsi="Calibri" w:cs="Calibri"/>
          <w:b/>
        </w:rPr>
        <w:t>E</w:t>
      </w:r>
      <w:r w:rsidRPr="00A908BB">
        <w:rPr>
          <w:rFonts w:ascii="Calibri" w:hAnsi="Calibri" w:cs="Calibri"/>
          <w:b/>
        </w:rPr>
        <w:t xml:space="preserve">fforts focused on building a dedicated space for a nurse practitioner from SRCHC </w:t>
      </w:r>
      <w:r w:rsidR="0099300A" w:rsidRPr="00A908BB">
        <w:rPr>
          <w:rFonts w:ascii="Calibri" w:hAnsi="Calibri" w:cs="Calibri"/>
          <w:b/>
        </w:rPr>
        <w:t>to provide medical services to those specialty mental health clients who are not connected to health care. This satellite c</w:t>
      </w:r>
      <w:r w:rsidRPr="00A908BB">
        <w:rPr>
          <w:rFonts w:ascii="Calibri" w:hAnsi="Calibri" w:cs="Calibri"/>
          <w:b/>
        </w:rPr>
        <w:t>linic opened in March 2012 and thus far has primarily focused on health issues related to metabolic syndromes that are more likely to occur in people who take anti-psychotic medications</w:t>
      </w:r>
      <w:r w:rsidRPr="00A908BB">
        <w:rPr>
          <w:rFonts w:ascii="Calibri" w:hAnsi="Calibri" w:cs="Calibri"/>
        </w:rPr>
        <w:t xml:space="preserve">. </w:t>
      </w:r>
    </w:p>
    <w:p w:rsidR="00DB13A0" w:rsidRPr="00A908BB" w:rsidRDefault="00DB13A0" w:rsidP="00DB13A0">
      <w:pPr>
        <w:spacing w:after="0" w:line="240" w:lineRule="auto"/>
        <w:rPr>
          <w:rFonts w:ascii="Calibri" w:hAnsi="Calibri" w:cs="Calibri"/>
          <w:b/>
        </w:rPr>
      </w:pPr>
    </w:p>
    <w:p w:rsidR="0099300A" w:rsidRPr="00A908BB" w:rsidRDefault="0099300A" w:rsidP="00DB13A0">
      <w:pPr>
        <w:spacing w:after="0" w:line="240" w:lineRule="auto"/>
        <w:rPr>
          <w:rFonts w:ascii="Calibri" w:hAnsi="Calibri" w:cs="Calibri"/>
          <w:b/>
        </w:rPr>
      </w:pPr>
      <w:r w:rsidRPr="00A908BB">
        <w:rPr>
          <w:rFonts w:ascii="Calibri" w:hAnsi="Calibri" w:cs="Calibri"/>
          <w:b/>
        </w:rPr>
        <w:t>SC-BHD also administers an evidence based assessment tool as part of the initial assessment and every six months thereafter to client monitor progress. The tools - CANS for children, and ANSA for adults</w:t>
      </w:r>
      <w:r w:rsidR="00736CB3" w:rsidRPr="00A908BB">
        <w:rPr>
          <w:rFonts w:ascii="Calibri" w:hAnsi="Calibri" w:cs="Calibri"/>
          <w:b/>
        </w:rPr>
        <w:t xml:space="preserve"> – are used </w:t>
      </w:r>
      <w:r w:rsidRPr="00A908BB">
        <w:rPr>
          <w:rFonts w:ascii="Calibri" w:hAnsi="Calibri" w:cs="Calibri"/>
          <w:b/>
        </w:rPr>
        <w:t>to identify functional impairments that are related to mental illness</w:t>
      </w:r>
      <w:r w:rsidR="00736CB3" w:rsidRPr="00A908BB">
        <w:rPr>
          <w:rFonts w:ascii="Calibri" w:hAnsi="Calibri" w:cs="Calibri"/>
          <w:b/>
        </w:rPr>
        <w:t xml:space="preserve">. The CANS and ANSA’s also include assessing for physical health care needs in order to ensure that addressing those concerns are including in the client’s overall treatment plan. </w:t>
      </w:r>
    </w:p>
    <w:p w:rsidR="0005044C" w:rsidRPr="00A908BB" w:rsidRDefault="0005044C" w:rsidP="00DB13A0">
      <w:pPr>
        <w:spacing w:after="0" w:line="240" w:lineRule="auto"/>
        <w:rPr>
          <w:rFonts w:ascii="Calibri" w:hAnsi="Calibri" w:cs="Calibri"/>
          <w:b/>
        </w:rPr>
      </w:pPr>
    </w:p>
    <w:p w:rsidR="0005044C" w:rsidRPr="00A908BB" w:rsidRDefault="0005044C" w:rsidP="00560BED">
      <w:pPr>
        <w:autoSpaceDE w:val="0"/>
        <w:autoSpaceDN w:val="0"/>
        <w:adjustRightInd w:val="0"/>
        <w:spacing w:after="0" w:line="240" w:lineRule="auto"/>
        <w:rPr>
          <w:rFonts w:asciiTheme="minorHAnsi" w:hAnsiTheme="minorHAnsi" w:cs="Times New Roman"/>
          <w:b/>
        </w:rPr>
      </w:pPr>
      <w:r w:rsidRPr="00A908BB">
        <w:rPr>
          <w:rFonts w:ascii="Calibri" w:hAnsi="Calibri" w:cs="Calibri"/>
          <w:b/>
        </w:rPr>
        <w:t>Recently, Sonoma County Behavioral Health, in partnership with Santa Rosa Community Health Centers recei</w:t>
      </w:r>
      <w:r w:rsidR="00072279" w:rsidRPr="00A908BB">
        <w:rPr>
          <w:rFonts w:ascii="Calibri" w:hAnsi="Calibri" w:cs="Calibri"/>
          <w:b/>
        </w:rPr>
        <w:t>ved a grant from SAMHSA to improve health outcomes for people with serious mental illness. This project, Bridge</w:t>
      </w:r>
      <w:r w:rsidR="00072279" w:rsidRPr="00A908BB">
        <w:rPr>
          <w:rFonts w:asciiTheme="minorHAnsi" w:hAnsiTheme="minorHAnsi" w:cs="Times New Roman"/>
          <w:b/>
          <w:bCs/>
          <w:i/>
          <w:iCs/>
        </w:rPr>
        <w:t xml:space="preserve"> Health Services, targets 300 to 600 adults per year using </w:t>
      </w:r>
      <w:r w:rsidR="00072279" w:rsidRPr="00A908BB">
        <w:rPr>
          <w:rFonts w:asciiTheme="minorHAnsi" w:hAnsiTheme="minorHAnsi" w:cs="Times New Roman"/>
          <w:b/>
        </w:rPr>
        <w:t>strategies include complex care management by nurse case managers, and peer navigation and patient navigation services to support implementation of individual care plans and access to health promotion activities.</w:t>
      </w:r>
      <w:r w:rsidR="00072279" w:rsidRPr="00A908BB">
        <w:rPr>
          <w:rFonts w:asciiTheme="minorHAnsi" w:hAnsiTheme="minorHAnsi" w:cs="Times New Roman"/>
        </w:rPr>
        <w:t xml:space="preserve"> </w:t>
      </w:r>
      <w:r w:rsidR="00560BED" w:rsidRPr="00A908BB">
        <w:rPr>
          <w:rFonts w:asciiTheme="minorHAnsi" w:hAnsiTheme="minorHAnsi" w:cs="Times New Roman"/>
          <w:b/>
        </w:rPr>
        <w:t>Bridge will link patients to a patient-centered medical home as their ongoing source of primary care, provide medical services in the home, patient navigation, and behavioral and mental health services. Program goals are to (1) improve patient experience by delivering care when and where it is most needed, providing 24/7 access to clinical support and activating patients and their care givers in their health care; (2) improve the health status of the target population as defined by specified care quality and health outcome indicators through adherence to guidelines and protocols for chronic disease management; and (3) lower the total cost of care by reducing avoidable hospital admissions and re-admissions.</w:t>
      </w:r>
    </w:p>
    <w:p w:rsidR="00560BED" w:rsidRPr="00A908BB" w:rsidRDefault="00560BED" w:rsidP="00560BED">
      <w:pPr>
        <w:autoSpaceDE w:val="0"/>
        <w:autoSpaceDN w:val="0"/>
        <w:adjustRightInd w:val="0"/>
        <w:spacing w:after="0" w:line="240" w:lineRule="auto"/>
        <w:rPr>
          <w:rFonts w:asciiTheme="minorHAnsi" w:hAnsiTheme="minorHAnsi" w:cs="Calibri"/>
          <w:b/>
        </w:rPr>
      </w:pPr>
    </w:p>
    <w:p w:rsidR="00C43A43" w:rsidRPr="00A908BB" w:rsidRDefault="00C43A43" w:rsidP="00C43A43">
      <w:pPr>
        <w:shd w:val="clear" w:color="auto" w:fill="FFFFFF"/>
        <w:rPr>
          <w:rFonts w:eastAsia="Times New Roman"/>
          <w:b/>
        </w:rPr>
      </w:pPr>
      <w:r w:rsidRPr="00A908BB">
        <w:rPr>
          <w:rFonts w:eastAsia="Times New Roman"/>
          <w:b/>
        </w:rPr>
        <w:t xml:space="preserve">2)  How does your county address wellness programs to engage and motivate clients to take charge of improving their physical health? </w:t>
      </w:r>
    </w:p>
    <w:p w:rsidR="00C43A43" w:rsidRPr="00A908BB" w:rsidRDefault="00C43A43" w:rsidP="00C43A43">
      <w:pPr>
        <w:shd w:val="clear" w:color="auto" w:fill="FFFFFF"/>
        <w:rPr>
          <w:rFonts w:eastAsia="Times New Roman"/>
        </w:rPr>
      </w:pPr>
      <w:r w:rsidRPr="00A908BB">
        <w:rPr>
          <w:rFonts w:eastAsia="Times New Roman"/>
        </w:rPr>
        <w:t xml:space="preserve">Examples:       </w:t>
      </w:r>
    </w:p>
    <w:p w:rsidR="00C43A43" w:rsidRPr="00A908BB" w:rsidRDefault="00C43A43" w:rsidP="00C43A43">
      <w:pPr>
        <w:pStyle w:val="ListParagraph"/>
        <w:numPr>
          <w:ilvl w:val="0"/>
          <w:numId w:val="22"/>
        </w:numPr>
        <w:shd w:val="clear" w:color="auto" w:fill="FFFFFF"/>
        <w:spacing w:after="0" w:line="240" w:lineRule="auto"/>
        <w:rPr>
          <w:rFonts w:eastAsia="Times New Roman"/>
        </w:rPr>
      </w:pPr>
      <w:r w:rsidRPr="00A908BB">
        <w:rPr>
          <w:rFonts w:eastAsia="Times New Roman"/>
        </w:rPr>
        <w:t xml:space="preserve">Exercise                                    </w:t>
      </w:r>
    </w:p>
    <w:p w:rsidR="00C43A43" w:rsidRPr="00A908BB" w:rsidRDefault="00C43A43" w:rsidP="00C43A43">
      <w:pPr>
        <w:pStyle w:val="ListParagraph"/>
        <w:numPr>
          <w:ilvl w:val="0"/>
          <w:numId w:val="22"/>
        </w:numPr>
        <w:shd w:val="clear" w:color="auto" w:fill="FFFFFF"/>
        <w:spacing w:after="0" w:line="240" w:lineRule="auto"/>
        <w:rPr>
          <w:rFonts w:eastAsia="Times New Roman"/>
        </w:rPr>
      </w:pPr>
      <w:r w:rsidRPr="00A908BB">
        <w:rPr>
          <w:rFonts w:eastAsia="Times New Roman"/>
        </w:rPr>
        <w:t xml:space="preserve">Nutrition </w:t>
      </w:r>
    </w:p>
    <w:p w:rsidR="00C43A43" w:rsidRPr="00A908BB" w:rsidRDefault="00C43A43" w:rsidP="00C43A43">
      <w:pPr>
        <w:pStyle w:val="ListParagraph"/>
        <w:numPr>
          <w:ilvl w:val="0"/>
          <w:numId w:val="22"/>
        </w:numPr>
        <w:shd w:val="clear" w:color="auto" w:fill="FFFFFF"/>
        <w:spacing w:after="0" w:line="240" w:lineRule="auto"/>
        <w:rPr>
          <w:rFonts w:eastAsia="Times New Roman"/>
        </w:rPr>
      </w:pPr>
      <w:r w:rsidRPr="00A908BB">
        <w:rPr>
          <w:rFonts w:eastAsia="Times New Roman"/>
        </w:rPr>
        <w:t>Healthy cooking</w:t>
      </w:r>
    </w:p>
    <w:p w:rsidR="00C43A43" w:rsidRPr="00A908BB" w:rsidRDefault="00C43A43" w:rsidP="00C43A43">
      <w:pPr>
        <w:pStyle w:val="ListParagraph"/>
        <w:numPr>
          <w:ilvl w:val="0"/>
          <w:numId w:val="22"/>
        </w:numPr>
        <w:shd w:val="clear" w:color="auto" w:fill="FFFFFF"/>
        <w:spacing w:after="0" w:line="240" w:lineRule="auto"/>
        <w:rPr>
          <w:rFonts w:eastAsia="Times New Roman"/>
        </w:rPr>
      </w:pPr>
      <w:r w:rsidRPr="00A908BB">
        <w:rPr>
          <w:rFonts w:eastAsia="Times New Roman"/>
        </w:rPr>
        <w:t xml:space="preserve">Stress management      </w:t>
      </w:r>
    </w:p>
    <w:p w:rsidR="00C43A43" w:rsidRPr="00A908BB" w:rsidRDefault="00C43A43" w:rsidP="00C43A43">
      <w:pPr>
        <w:pStyle w:val="ListParagraph"/>
        <w:numPr>
          <w:ilvl w:val="0"/>
          <w:numId w:val="22"/>
        </w:numPr>
        <w:shd w:val="clear" w:color="auto" w:fill="FFFFFF"/>
        <w:spacing w:after="0" w:line="240" w:lineRule="auto"/>
        <w:rPr>
          <w:rFonts w:eastAsia="Times New Roman"/>
        </w:rPr>
      </w:pPr>
      <w:r w:rsidRPr="00A908BB">
        <w:rPr>
          <w:rFonts w:eastAsia="Times New Roman"/>
        </w:rPr>
        <w:t xml:space="preserve">Quitting smoking               </w:t>
      </w:r>
    </w:p>
    <w:p w:rsidR="00C43A43" w:rsidRPr="00A908BB" w:rsidRDefault="00C43A43" w:rsidP="00C43A43">
      <w:pPr>
        <w:pStyle w:val="ListParagraph"/>
        <w:numPr>
          <w:ilvl w:val="0"/>
          <w:numId w:val="22"/>
        </w:numPr>
        <w:shd w:val="clear" w:color="auto" w:fill="FFFFFF"/>
        <w:spacing w:after="0" w:line="240" w:lineRule="auto"/>
        <w:rPr>
          <w:rFonts w:eastAsia="Times New Roman"/>
        </w:rPr>
      </w:pPr>
      <w:r w:rsidRPr="00A908BB">
        <w:rPr>
          <w:rFonts w:eastAsia="Times New Roman"/>
        </w:rPr>
        <w:t>Managing chronic disease</w:t>
      </w:r>
    </w:p>
    <w:p w:rsidR="00162652" w:rsidRPr="00A908BB" w:rsidRDefault="00C43A43" w:rsidP="00C43A43">
      <w:pPr>
        <w:pStyle w:val="ListParagraph"/>
        <w:numPr>
          <w:ilvl w:val="0"/>
          <w:numId w:val="22"/>
        </w:numPr>
        <w:shd w:val="clear" w:color="auto" w:fill="FFFFFF"/>
        <w:spacing w:after="0" w:line="240" w:lineRule="auto"/>
        <w:rPr>
          <w:rFonts w:eastAsia="Times New Roman"/>
        </w:rPr>
      </w:pPr>
      <w:r w:rsidRPr="00A908BB">
        <w:rPr>
          <w:rFonts w:eastAsia="Times New Roman"/>
        </w:rPr>
        <w:t>Maintaining social connectedness</w:t>
      </w:r>
    </w:p>
    <w:p w:rsidR="00162652" w:rsidRPr="00A908BB" w:rsidRDefault="00162652" w:rsidP="00162652">
      <w:pPr>
        <w:shd w:val="clear" w:color="auto" w:fill="FFFFFF"/>
        <w:spacing w:after="0" w:line="240" w:lineRule="auto"/>
        <w:rPr>
          <w:rFonts w:eastAsia="Times New Roman"/>
        </w:rPr>
      </w:pPr>
    </w:p>
    <w:p w:rsidR="00162652" w:rsidRPr="00A908BB" w:rsidRDefault="00162652" w:rsidP="00162652">
      <w:pPr>
        <w:spacing w:after="0" w:line="240" w:lineRule="auto"/>
        <w:rPr>
          <w:rFonts w:asciiTheme="minorHAnsi" w:hAnsiTheme="minorHAnsi" w:cstheme="minorHAnsi"/>
          <w:b/>
        </w:rPr>
      </w:pPr>
      <w:r w:rsidRPr="00A908BB">
        <w:rPr>
          <w:rFonts w:asciiTheme="minorHAnsi" w:eastAsia="Times New Roman" w:hAnsiTheme="minorHAnsi" w:cstheme="minorHAnsi"/>
          <w:b/>
        </w:rPr>
        <w:t>As stated above</w:t>
      </w:r>
      <w:r w:rsidRPr="00A908BB">
        <w:rPr>
          <w:rFonts w:asciiTheme="minorHAnsi" w:hAnsiTheme="minorHAnsi" w:cstheme="minorHAnsi"/>
          <w:b/>
        </w:rPr>
        <w:t xml:space="preserve"> SC-BHD administers an evidence based assessment tool as part of the initial assessment and every six months thereafter to client monitor progress. The tools - CANS for children, and ANSA for adults – are used to identify functional impairments that are related to mental illness. The CANS and ANSA’s also include assessing for physical health care needs in order to ensure that addressing those concerns are including in the client’s overall treatment plan. </w:t>
      </w:r>
    </w:p>
    <w:p w:rsidR="00162652" w:rsidRPr="00A908BB" w:rsidRDefault="00162652" w:rsidP="00162652">
      <w:pPr>
        <w:spacing w:after="0" w:line="240" w:lineRule="auto"/>
        <w:rPr>
          <w:rFonts w:asciiTheme="minorHAnsi" w:hAnsiTheme="minorHAnsi" w:cstheme="minorHAnsi"/>
          <w:b/>
        </w:rPr>
      </w:pPr>
    </w:p>
    <w:p w:rsidR="00162652" w:rsidRPr="00A908BB" w:rsidRDefault="00162652" w:rsidP="00162652">
      <w:pPr>
        <w:spacing w:after="0" w:line="240" w:lineRule="auto"/>
        <w:rPr>
          <w:rFonts w:asciiTheme="minorHAnsi" w:hAnsiTheme="minorHAnsi" w:cstheme="minorHAnsi"/>
          <w:b/>
        </w:rPr>
      </w:pPr>
      <w:r w:rsidRPr="00A908BB">
        <w:rPr>
          <w:rFonts w:asciiTheme="minorHAnsi" w:hAnsiTheme="minorHAnsi" w:cstheme="minorHAnsi"/>
          <w:b/>
        </w:rPr>
        <w:t xml:space="preserve">The CANS and ANSA also identifies other issues related to overall wellness. Issues identified are placed on the treatment plan and a plan is developed with the consumer and, when appropriate, family member and/or other significant people in the consumer’s life, to address issuer including overall wellness. </w:t>
      </w:r>
      <w:r w:rsidR="00450F14" w:rsidRPr="00A908BB">
        <w:rPr>
          <w:rFonts w:asciiTheme="minorHAnsi" w:hAnsiTheme="minorHAnsi" w:cstheme="minorHAnsi"/>
          <w:b/>
        </w:rPr>
        <w:t>SC-BHD Personal Service Coordinators (PSC) work closely with consumers to identify areas of health the consumer wishes to improve as well as interventions that would target those behaviors.  Plans are customized for each consumer. SC-BHD staff will</w:t>
      </w:r>
      <w:r w:rsidR="00C52B92" w:rsidRPr="00A908BB">
        <w:rPr>
          <w:rFonts w:asciiTheme="minorHAnsi" w:hAnsiTheme="minorHAnsi" w:cstheme="minorHAnsi"/>
          <w:b/>
        </w:rPr>
        <w:t xml:space="preserve"> also facilitate smoking cessation groups, walking groups, cooking demonstrations, etc. depending on need and interest. </w:t>
      </w:r>
    </w:p>
    <w:p w:rsidR="00450F14" w:rsidRPr="00A908BB" w:rsidRDefault="00450F14" w:rsidP="00162652">
      <w:pPr>
        <w:spacing w:after="0" w:line="240" w:lineRule="auto"/>
        <w:rPr>
          <w:rFonts w:asciiTheme="minorHAnsi" w:hAnsiTheme="minorHAnsi" w:cstheme="minorHAnsi"/>
          <w:b/>
        </w:rPr>
      </w:pPr>
    </w:p>
    <w:p w:rsidR="00162652" w:rsidRPr="00A908BB" w:rsidRDefault="00162652" w:rsidP="00162652">
      <w:pPr>
        <w:spacing w:after="0" w:line="240" w:lineRule="auto"/>
        <w:rPr>
          <w:rFonts w:asciiTheme="minorHAnsi" w:hAnsiTheme="minorHAnsi" w:cstheme="minorHAnsi"/>
          <w:b/>
        </w:rPr>
      </w:pPr>
      <w:r w:rsidRPr="00A908BB">
        <w:rPr>
          <w:rFonts w:asciiTheme="minorHAnsi" w:hAnsiTheme="minorHAnsi" w:cstheme="minorHAnsi"/>
          <w:b/>
        </w:rPr>
        <w:t xml:space="preserve">Specifically, SC-BHD funds 4 consumer run wellness programs throughout Sonoma County. Consumer run programs are key to helping people receiving specialty mental health services meet their wellness goals. SC-BHD Personal Service Coordinators assist mental health consumers to link to these programs. </w:t>
      </w:r>
    </w:p>
    <w:p w:rsidR="00162652" w:rsidRPr="00A908BB" w:rsidRDefault="00162652" w:rsidP="00162652">
      <w:pPr>
        <w:spacing w:after="0" w:line="240" w:lineRule="auto"/>
        <w:rPr>
          <w:rFonts w:asciiTheme="minorHAnsi" w:hAnsiTheme="minorHAnsi" w:cstheme="minorHAnsi"/>
          <w:b/>
        </w:rPr>
      </w:pPr>
    </w:p>
    <w:p w:rsidR="00162652" w:rsidRPr="00A908BB" w:rsidRDefault="00162652" w:rsidP="00162652">
      <w:pPr>
        <w:spacing w:after="0" w:line="240" w:lineRule="auto"/>
        <w:rPr>
          <w:rFonts w:asciiTheme="minorHAnsi" w:hAnsiTheme="minorHAnsi" w:cstheme="minorHAnsi"/>
          <w:b/>
        </w:rPr>
      </w:pPr>
    </w:p>
    <w:p w:rsidR="00C43A43" w:rsidRPr="00A908BB" w:rsidRDefault="00C43A43" w:rsidP="00162652">
      <w:pPr>
        <w:shd w:val="clear" w:color="auto" w:fill="FFFFFF"/>
        <w:spacing w:after="0" w:line="240" w:lineRule="auto"/>
        <w:rPr>
          <w:rFonts w:eastAsia="Times New Roman"/>
        </w:rPr>
      </w:pPr>
      <w:r w:rsidRPr="00A908BB">
        <w:rPr>
          <w:rFonts w:eastAsia="Times New Roman"/>
        </w:rPr>
        <w:br w:type="page"/>
      </w:r>
    </w:p>
    <w:p w:rsidR="00C43A43" w:rsidRPr="00A908BB" w:rsidRDefault="00C43A43" w:rsidP="006A4FEB">
      <w:pPr>
        <w:pStyle w:val="Heading4"/>
        <w:shd w:val="clear" w:color="auto" w:fill="auto"/>
        <w:ind w:right="-90"/>
        <w:rPr>
          <w:color w:val="auto"/>
        </w:rPr>
      </w:pPr>
      <w:r w:rsidRPr="00A908BB">
        <w:rPr>
          <w:color w:val="auto"/>
        </w:rPr>
        <w:t>NEW CLIENTS</w:t>
      </w:r>
      <w:r w:rsidR="001C4A7D" w:rsidRPr="00A908BB">
        <w:rPr>
          <w:color w:val="auto"/>
        </w:rPr>
        <w:t xml:space="preserve">: </w:t>
      </w:r>
      <w:r w:rsidR="005E1B03" w:rsidRPr="00A908BB">
        <w:rPr>
          <w:color w:val="auto"/>
        </w:rPr>
        <w:t xml:space="preserve"> </w:t>
      </w:r>
      <w:r w:rsidR="001C4A7D" w:rsidRPr="00A908BB">
        <w:rPr>
          <w:color w:val="auto"/>
        </w:rPr>
        <w:t>One Measure of Access</w:t>
      </w:r>
      <w:r w:rsidR="00514CBA" w:rsidRPr="00A908BB">
        <w:rPr>
          <w:color w:val="auto"/>
        </w:rPr>
        <w:t xml:space="preserve"> </w:t>
      </w:r>
    </w:p>
    <w:p w:rsidR="00C43A43" w:rsidRPr="00A908BB" w:rsidRDefault="00C43A43" w:rsidP="00C43A43">
      <w:pPr>
        <w:shd w:val="clear" w:color="auto" w:fill="FFFFFF"/>
        <w:rPr>
          <w:rFonts w:eastAsia="Times New Roman"/>
        </w:rPr>
      </w:pPr>
      <w:r w:rsidRPr="00A908BB">
        <w:rPr>
          <w:rFonts w:eastAsia="Times New Roman"/>
        </w:rPr>
        <w:t xml:space="preserve">One way to </w:t>
      </w:r>
      <w:r w:rsidR="001C4A7D" w:rsidRPr="00A908BB">
        <w:rPr>
          <w:rFonts w:eastAsia="Times New Roman"/>
        </w:rPr>
        <w:t xml:space="preserve">evaluate </w:t>
      </w:r>
      <w:r w:rsidRPr="00A908BB">
        <w:rPr>
          <w:rFonts w:eastAsia="Times New Roman"/>
        </w:rPr>
        <w:t>the quality of mental health services outreach is to measure how many clients receive services who have never been part of the service system before (“brand new” clients)</w:t>
      </w:r>
      <w:r w:rsidR="001C4A7D" w:rsidRPr="00A908BB">
        <w:rPr>
          <w:rFonts w:eastAsia="Times New Roman"/>
        </w:rPr>
        <w:t>.  Another</w:t>
      </w:r>
      <w:r w:rsidR="00D05CD4" w:rsidRPr="00A908BB">
        <w:rPr>
          <w:rFonts w:eastAsia="Times New Roman"/>
        </w:rPr>
        <w:t xml:space="preserve"> </w:t>
      </w:r>
      <w:r w:rsidRPr="00A908BB">
        <w:rPr>
          <w:rFonts w:eastAsia="Times New Roman"/>
        </w:rPr>
        <w:t>measure</w:t>
      </w:r>
      <w:r w:rsidR="00D05CD4" w:rsidRPr="00A908BB">
        <w:rPr>
          <w:rFonts w:eastAsia="Times New Roman"/>
        </w:rPr>
        <w:t xml:space="preserve"> is</w:t>
      </w:r>
      <w:r w:rsidRPr="00A908BB">
        <w:rPr>
          <w:rFonts w:eastAsia="Times New Roman"/>
        </w:rPr>
        <w:t xml:space="preserve"> how many clients return for services after a period of time with no services (“new” clients).  </w:t>
      </w:r>
    </w:p>
    <w:p w:rsidR="00C43A43" w:rsidRPr="00A908BB" w:rsidRDefault="00C43A43" w:rsidP="00C43A43">
      <w:pPr>
        <w:shd w:val="clear" w:color="auto" w:fill="FFFFFF"/>
        <w:rPr>
          <w:rFonts w:eastAsia="Times New Roman"/>
        </w:rPr>
      </w:pPr>
      <w:r w:rsidRPr="00A908BB">
        <w:rPr>
          <w:rFonts w:eastAsia="Times New Roman"/>
        </w:rPr>
        <w:t>The California Mental Health Planning Council is exploring how each county mental health department defines “new” clients, and how a client is labelled when they return for additional services.  This in</w:t>
      </w:r>
      <w:r w:rsidR="001C4A7D" w:rsidRPr="00A908BB">
        <w:rPr>
          <w:rFonts w:eastAsia="Times New Roman"/>
        </w:rPr>
        <w:t>formation is important in determin</w:t>
      </w:r>
      <w:r w:rsidRPr="00A908BB">
        <w:rPr>
          <w:rFonts w:eastAsia="Times New Roman"/>
        </w:rPr>
        <w:t>ing whether your county has a “revolving door</w:t>
      </w:r>
      <w:r w:rsidR="003755D4" w:rsidRPr="00A908BB">
        <w:rPr>
          <w:rFonts w:eastAsia="Times New Roman"/>
        </w:rPr>
        <w:t>,”</w:t>
      </w:r>
      <w:r w:rsidRPr="00A908BB">
        <w:rPr>
          <w:rFonts w:eastAsia="Times New Roman"/>
        </w:rPr>
        <w:t xml:space="preserve"> </w:t>
      </w:r>
      <w:r w:rsidR="001C4A7D" w:rsidRPr="00A908BB">
        <w:rPr>
          <w:rFonts w:eastAsia="Times New Roman"/>
        </w:rPr>
        <w:t xml:space="preserve">that is, </w:t>
      </w:r>
      <w:r w:rsidRPr="00A908BB">
        <w:rPr>
          <w:rFonts w:eastAsia="Times New Roman"/>
        </w:rPr>
        <w:t>clients who are in and out of mental health serv</w:t>
      </w:r>
      <w:r w:rsidR="001C4A7D" w:rsidRPr="00A908BB">
        <w:rPr>
          <w:rFonts w:eastAsia="Times New Roman"/>
        </w:rPr>
        <w:t>ices repeatedly. This data is one indicator of</w:t>
      </w:r>
      <w:r w:rsidRPr="00A908BB">
        <w:rPr>
          <w:rFonts w:eastAsia="Times New Roman"/>
        </w:rPr>
        <w:t xml:space="preserve"> the success of your county’s programs in closing cases appropriately and providing adequate discharge planning to clien</w:t>
      </w:r>
      <w:r w:rsidR="001C4A7D" w:rsidRPr="00A908BB">
        <w:rPr>
          <w:rFonts w:eastAsia="Times New Roman"/>
        </w:rPr>
        <w:t>ts</w:t>
      </w:r>
      <w:r w:rsidRPr="00A908BB">
        <w:rPr>
          <w:rFonts w:eastAsia="Times New Roman"/>
        </w:rPr>
        <w:t xml:space="preserve">. </w:t>
      </w:r>
    </w:p>
    <w:p w:rsidR="00C43A43" w:rsidRPr="00A908BB" w:rsidRDefault="00C43A43" w:rsidP="00C43A43">
      <w:pPr>
        <w:shd w:val="clear" w:color="auto" w:fill="FFFFFF"/>
        <w:rPr>
          <w:rFonts w:eastAsia="Times New Roman"/>
        </w:rPr>
      </w:pPr>
      <w:r w:rsidRPr="00A908BB">
        <w:rPr>
          <w:rFonts w:eastAsia="Times New Roman"/>
        </w:rPr>
        <w:t>This data is not currently reported by the counties to the state.  The Council does not have data to provide to you.  This information should be requested from your county mental health department.</w:t>
      </w:r>
    </w:p>
    <w:p w:rsidR="00C43A43" w:rsidRPr="00A908BB" w:rsidRDefault="00C43A43" w:rsidP="00C43A43">
      <w:pPr>
        <w:shd w:val="clear" w:color="auto" w:fill="FFFFFF"/>
        <w:rPr>
          <w:rFonts w:eastAsia="Times New Roman"/>
        </w:rPr>
      </w:pPr>
      <w:r w:rsidRPr="00A908BB">
        <w:rPr>
          <w:rFonts w:eastAsia="Times New Roman"/>
        </w:rPr>
        <w:t>____   Check here if your county does not have this information.</w:t>
      </w:r>
    </w:p>
    <w:p w:rsidR="00C43A43" w:rsidRPr="00A908BB" w:rsidRDefault="00C43A43" w:rsidP="00C43A43">
      <w:pPr>
        <w:shd w:val="clear" w:color="auto" w:fill="FFFFFF"/>
        <w:rPr>
          <w:rFonts w:eastAsia="Times New Roman"/>
          <w:b/>
        </w:rPr>
      </w:pPr>
      <w:r w:rsidRPr="00A908BB">
        <w:rPr>
          <w:rFonts w:eastAsia="Times New Roman"/>
          <w:b/>
        </w:rPr>
        <w:t>3.  How does your county define 'new' client for those individuals who have previously received services, but who have not received services for a while? (e.g., 6 months, 12 months, 2 years?)</w:t>
      </w:r>
    </w:p>
    <w:p w:rsidR="00C52B92" w:rsidRPr="00A908BB" w:rsidRDefault="00C52B92" w:rsidP="00A31E47">
      <w:pPr>
        <w:shd w:val="clear" w:color="auto" w:fill="FFFFFF"/>
        <w:spacing w:after="0" w:line="240" w:lineRule="auto"/>
        <w:rPr>
          <w:rFonts w:asciiTheme="minorHAnsi" w:eastAsia="Times New Roman" w:hAnsiTheme="minorHAnsi"/>
          <w:b/>
        </w:rPr>
      </w:pPr>
      <w:r w:rsidRPr="00A908BB">
        <w:rPr>
          <w:rFonts w:asciiTheme="minorHAnsi" w:eastAsia="Times New Roman" w:hAnsiTheme="minorHAnsi"/>
          <w:b/>
        </w:rPr>
        <w:t xml:space="preserve">Sonoma County Behavioral Health Division </w:t>
      </w:r>
      <w:r w:rsidR="00A31E47" w:rsidRPr="00A908BB">
        <w:rPr>
          <w:rFonts w:asciiTheme="minorHAnsi" w:eastAsia="Times New Roman" w:hAnsiTheme="minorHAnsi"/>
          <w:b/>
        </w:rPr>
        <w:t>makes every effort</w:t>
      </w:r>
      <w:r w:rsidR="009377C6" w:rsidRPr="00A908BB">
        <w:rPr>
          <w:rFonts w:asciiTheme="minorHAnsi" w:eastAsia="Times New Roman" w:hAnsiTheme="minorHAnsi"/>
          <w:b/>
        </w:rPr>
        <w:t xml:space="preserve"> not to interrupt care and </w:t>
      </w:r>
      <w:r w:rsidR="00A31E47" w:rsidRPr="00A908BB">
        <w:rPr>
          <w:rFonts w:asciiTheme="minorHAnsi" w:eastAsia="Times New Roman" w:hAnsiTheme="minorHAnsi"/>
          <w:b/>
        </w:rPr>
        <w:t>to keep clients engaged in services</w:t>
      </w:r>
      <w:r w:rsidR="009377C6" w:rsidRPr="00A908BB">
        <w:rPr>
          <w:rFonts w:asciiTheme="minorHAnsi" w:eastAsia="Times New Roman" w:hAnsiTheme="minorHAnsi"/>
          <w:b/>
        </w:rPr>
        <w:t xml:space="preserve">. </w:t>
      </w:r>
      <w:r w:rsidR="00605B85" w:rsidRPr="00A908BB">
        <w:rPr>
          <w:rFonts w:asciiTheme="minorHAnsi" w:eastAsia="Times New Roman" w:hAnsiTheme="minorHAnsi"/>
          <w:b/>
        </w:rPr>
        <w:t>SC-BHD has an exhaustive Client Engagement Policy to assist and encourage clients to remain in treatment. C</w:t>
      </w:r>
      <w:r w:rsidR="00A31E47" w:rsidRPr="00A908BB">
        <w:rPr>
          <w:rFonts w:asciiTheme="minorHAnsi" w:eastAsia="Times New Roman" w:hAnsiTheme="minorHAnsi"/>
          <w:b/>
        </w:rPr>
        <w:t xml:space="preserve">lients </w:t>
      </w:r>
      <w:r w:rsidR="00605B85" w:rsidRPr="00A908BB">
        <w:rPr>
          <w:rFonts w:asciiTheme="minorHAnsi" w:eastAsia="Times New Roman" w:hAnsiTheme="minorHAnsi"/>
          <w:b/>
        </w:rPr>
        <w:t xml:space="preserve">who do not respond to outreach and engagement efforts are ultimately closed to the Mental Health Plan. SC-BHD considered “new” clients when they are opened to SC-BHD regardless if they previously received services or not.  </w:t>
      </w:r>
    </w:p>
    <w:p w:rsidR="00A31E47" w:rsidRPr="00A908BB" w:rsidRDefault="00A31E47" w:rsidP="00A31E47">
      <w:pPr>
        <w:shd w:val="clear" w:color="auto" w:fill="FFFFFF"/>
        <w:spacing w:after="0" w:line="240" w:lineRule="auto"/>
        <w:rPr>
          <w:rFonts w:asciiTheme="minorHAnsi" w:eastAsia="Times New Roman" w:hAnsiTheme="minorHAnsi"/>
          <w:b/>
        </w:rPr>
      </w:pPr>
    </w:p>
    <w:p w:rsidR="00C43A43" w:rsidRPr="00A908BB" w:rsidRDefault="00C43A43" w:rsidP="00C43A43">
      <w:pPr>
        <w:shd w:val="clear" w:color="auto" w:fill="FFFFFF"/>
        <w:rPr>
          <w:rFonts w:eastAsia="Times New Roman"/>
          <w:b/>
        </w:rPr>
      </w:pPr>
      <w:r w:rsidRPr="00A908BB">
        <w:rPr>
          <w:rFonts w:eastAsia="Times New Roman"/>
          <w:b/>
        </w:rPr>
        <w:t xml:space="preserve">4.  Please provide any data your county has on the number of 'new' clients last year.  And if you have it, how many of those new clients </w:t>
      </w:r>
      <w:r w:rsidR="003755D4" w:rsidRPr="00A908BB">
        <w:rPr>
          <w:rFonts w:eastAsia="Times New Roman"/>
          <w:b/>
        </w:rPr>
        <w:t>were brand new clients?  You may</w:t>
      </w:r>
      <w:r w:rsidRPr="00A908BB">
        <w:rPr>
          <w:rFonts w:eastAsia="Times New Roman"/>
          <w:b/>
        </w:rPr>
        <w:t xml:space="preserve"> need to ask your county mental health department for this data. </w:t>
      </w:r>
    </w:p>
    <w:tbl>
      <w:tblPr>
        <w:tblW w:w="9198" w:type="dxa"/>
        <w:tblCellMar>
          <w:left w:w="0" w:type="dxa"/>
          <w:right w:w="0" w:type="dxa"/>
        </w:tblCellMar>
        <w:tblLook w:val="04A0" w:firstRow="1" w:lastRow="0" w:firstColumn="1" w:lastColumn="0" w:noHBand="0" w:noVBand="1"/>
      </w:tblPr>
      <w:tblGrid>
        <w:gridCol w:w="5320"/>
        <w:gridCol w:w="2618"/>
        <w:gridCol w:w="1260"/>
      </w:tblGrid>
      <w:tr w:rsidR="000F228D" w:rsidRPr="00A908BB" w:rsidTr="00EC1B86">
        <w:trPr>
          <w:trHeight w:val="360"/>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Number of UniqueClients Served During FY 13-14</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3473</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eastAsiaTheme="minorEastAsia" w:hAnsiTheme="minorHAnsi" w:cstheme="minorBidi"/>
                <w:sz w:val="22"/>
                <w:szCs w:val="22"/>
              </w:rPr>
            </w:pPr>
          </w:p>
        </w:tc>
      </w:tr>
      <w:tr w:rsidR="000F228D" w:rsidRPr="00A908BB" w:rsidTr="00EC1B86">
        <w:trPr>
          <w:trHeight w:val="306"/>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Number of "New" (Returning) Clients Served</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182</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5.24%</w:t>
            </w:r>
          </w:p>
        </w:tc>
      </w:tr>
      <w:tr w:rsidR="000F228D" w:rsidRPr="00A908BB" w:rsidTr="006A4FEB">
        <w:trPr>
          <w:trHeight w:val="288"/>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Number of "Brand New" Clients Served</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1722</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49.58%</w:t>
            </w:r>
          </w:p>
        </w:tc>
      </w:tr>
      <w:tr w:rsidR="000F228D" w:rsidRPr="00A908BB" w:rsidTr="006A4FEB">
        <w:trPr>
          <w:trHeight w:val="264"/>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b/>
                <w:bCs/>
                <w:sz w:val="22"/>
                <w:szCs w:val="22"/>
              </w:rPr>
            </w:pPr>
            <w:r w:rsidRPr="00A908BB">
              <w:rPr>
                <w:rFonts w:asciiTheme="minorHAnsi" w:hAnsiTheme="minorHAnsi"/>
                <w:b/>
                <w:bCs/>
                <w:sz w:val="22"/>
                <w:szCs w:val="22"/>
              </w:rPr>
              <w:t>Total Number of "New" &amp; "Brand New" Clients Served</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b/>
                <w:bCs/>
                <w:sz w:val="22"/>
                <w:szCs w:val="22"/>
              </w:rPr>
            </w:pPr>
            <w:r w:rsidRPr="00A908BB">
              <w:rPr>
                <w:rFonts w:asciiTheme="minorHAnsi" w:hAnsiTheme="minorHAnsi"/>
                <w:b/>
                <w:bCs/>
                <w:sz w:val="22"/>
                <w:szCs w:val="22"/>
              </w:rPr>
              <w:t>1904</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eastAsiaTheme="minorEastAsia" w:hAnsiTheme="minorHAnsi" w:cstheme="minorBidi"/>
                <w:sz w:val="22"/>
                <w:szCs w:val="22"/>
              </w:rPr>
            </w:pPr>
          </w:p>
        </w:tc>
      </w:tr>
      <w:tr w:rsidR="000F228D" w:rsidRPr="00A908BB" w:rsidTr="006A4FEB">
        <w:trPr>
          <w:trHeight w:val="264"/>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 New Youth (0-17)</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747</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eastAsiaTheme="minorEastAsia" w:hAnsiTheme="minorHAnsi" w:cstheme="minorBidi"/>
                <w:sz w:val="22"/>
                <w:szCs w:val="22"/>
              </w:rPr>
            </w:pPr>
          </w:p>
        </w:tc>
      </w:tr>
      <w:tr w:rsidR="000F228D" w:rsidRPr="00A908BB" w:rsidTr="006A4FEB">
        <w:trPr>
          <w:trHeight w:val="264"/>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 Brand New Youth (0-17)</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736</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98.53%</w:t>
            </w:r>
          </w:p>
        </w:tc>
      </w:tr>
      <w:tr w:rsidR="000F228D" w:rsidRPr="00A908BB" w:rsidTr="006A4FEB">
        <w:trPr>
          <w:trHeight w:val="264"/>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 New Adults (18-59)</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1003</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eastAsiaTheme="minorEastAsia" w:hAnsiTheme="minorHAnsi" w:cstheme="minorBidi"/>
                <w:sz w:val="22"/>
                <w:szCs w:val="22"/>
              </w:rPr>
            </w:pPr>
          </w:p>
        </w:tc>
      </w:tr>
      <w:tr w:rsidR="000F228D" w:rsidRPr="00A908BB" w:rsidTr="006A4FEB">
        <w:trPr>
          <w:trHeight w:val="264"/>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 Brand New Adults</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872</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86.94%</w:t>
            </w:r>
          </w:p>
        </w:tc>
      </w:tr>
      <w:tr w:rsidR="000F228D" w:rsidRPr="00A908BB" w:rsidTr="006A4FEB">
        <w:trPr>
          <w:trHeight w:val="216"/>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 New Older Adults (60+)</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154</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eastAsiaTheme="minorEastAsia" w:hAnsiTheme="minorHAnsi" w:cstheme="minorBidi"/>
                <w:sz w:val="22"/>
                <w:szCs w:val="22"/>
              </w:rPr>
            </w:pPr>
          </w:p>
        </w:tc>
      </w:tr>
      <w:tr w:rsidR="000F228D" w:rsidRPr="00A908BB" w:rsidTr="006A4FEB">
        <w:trPr>
          <w:trHeight w:val="264"/>
        </w:trPr>
        <w:tc>
          <w:tcPr>
            <w:tcW w:w="5320" w:type="dxa"/>
            <w:noWrap/>
            <w:tcMar>
              <w:top w:w="0" w:type="dxa"/>
              <w:left w:w="108" w:type="dxa"/>
              <w:bottom w:w="0" w:type="dxa"/>
              <w:right w:w="108" w:type="dxa"/>
            </w:tcMar>
            <w:hideMark/>
          </w:tcPr>
          <w:p w:rsidR="000F228D" w:rsidRPr="00A908BB" w:rsidRDefault="000F228D" w:rsidP="00EC1B86">
            <w:pPr>
              <w:spacing w:after="0" w:line="240" w:lineRule="auto"/>
              <w:rPr>
                <w:rFonts w:asciiTheme="minorHAnsi" w:hAnsiTheme="minorHAnsi"/>
                <w:sz w:val="22"/>
                <w:szCs w:val="22"/>
              </w:rPr>
            </w:pPr>
            <w:r w:rsidRPr="00A908BB">
              <w:rPr>
                <w:rFonts w:asciiTheme="minorHAnsi" w:hAnsiTheme="minorHAnsi"/>
                <w:sz w:val="22"/>
                <w:szCs w:val="22"/>
              </w:rPr>
              <w:t># Brand New Older Adults</w:t>
            </w:r>
          </w:p>
        </w:tc>
        <w:tc>
          <w:tcPr>
            <w:tcW w:w="2618"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114</w:t>
            </w:r>
          </w:p>
        </w:tc>
        <w:tc>
          <w:tcPr>
            <w:tcW w:w="1260" w:type="dxa"/>
            <w:noWrap/>
            <w:tcMar>
              <w:top w:w="0" w:type="dxa"/>
              <w:left w:w="108" w:type="dxa"/>
              <w:bottom w:w="0" w:type="dxa"/>
              <w:right w:w="108" w:type="dxa"/>
            </w:tcMar>
            <w:hideMark/>
          </w:tcPr>
          <w:p w:rsidR="000F228D" w:rsidRPr="00A908BB" w:rsidRDefault="000F228D" w:rsidP="00EC1B86">
            <w:pPr>
              <w:spacing w:after="0" w:line="240" w:lineRule="auto"/>
              <w:jc w:val="right"/>
              <w:rPr>
                <w:rFonts w:asciiTheme="minorHAnsi" w:hAnsiTheme="minorHAnsi"/>
                <w:sz w:val="22"/>
                <w:szCs w:val="22"/>
              </w:rPr>
            </w:pPr>
            <w:r w:rsidRPr="00A908BB">
              <w:rPr>
                <w:rFonts w:asciiTheme="minorHAnsi" w:hAnsiTheme="minorHAnsi"/>
                <w:sz w:val="22"/>
                <w:szCs w:val="22"/>
              </w:rPr>
              <w:t>74.03%</w:t>
            </w:r>
          </w:p>
        </w:tc>
      </w:tr>
    </w:tbl>
    <w:p w:rsidR="000F228D" w:rsidRPr="00A908BB" w:rsidRDefault="000F228D" w:rsidP="000F228D">
      <w:pPr>
        <w:rPr>
          <w:rFonts w:ascii="Calibri" w:hAnsi="Calibri"/>
          <w:sz w:val="22"/>
          <w:szCs w:val="22"/>
        </w:rPr>
      </w:pPr>
    </w:p>
    <w:p w:rsidR="00C43A43" w:rsidRPr="00C43A43" w:rsidRDefault="00C43A43" w:rsidP="00C43A43">
      <w:pPr>
        <w:shd w:val="clear" w:color="auto" w:fill="FFFFFF"/>
        <w:rPr>
          <w:rFonts w:eastAsia="Times New Roman"/>
          <w:color w:val="000000"/>
        </w:rPr>
      </w:pP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96711">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09671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CD4B6A" w:rsidRPr="00C43A43" w:rsidRDefault="00AB1626" w:rsidP="00C43A43">
      <w:pPr>
        <w:shd w:val="clear" w:color="auto" w:fill="FFFFFF"/>
        <w:rPr>
          <w:rFonts w:eastAsia="Times New Roman"/>
          <w:color w:val="000000"/>
        </w:rPr>
      </w:pPr>
      <w:r>
        <w:rPr>
          <w:rFonts w:eastAsia="Times New Roman"/>
          <w:b/>
          <w:color w:val="000000"/>
        </w:rPr>
        <w:t>Sonoma</w:t>
      </w:r>
      <w:r w:rsidR="00CD4B6A" w:rsidRPr="00CD4B6A">
        <w:rPr>
          <w:rFonts w:eastAsia="Times New Roman"/>
          <w:b/>
          <w:color w:val="000000"/>
        </w:rPr>
        <w:t xml:space="preserve"> County</w:t>
      </w:r>
      <w:r w:rsidR="00CD4B6A">
        <w:rPr>
          <w:rFonts w:eastAsia="Times New Roman"/>
          <w:color w:val="000000"/>
        </w:rPr>
        <w:t>:</w:t>
      </w:r>
    </w:p>
    <w:p w:rsidR="00CD4B6A" w:rsidRPr="00C43A43" w:rsidRDefault="00E57519" w:rsidP="00C43A43">
      <w:pPr>
        <w:shd w:val="clear" w:color="auto" w:fill="FFFFFF"/>
        <w:rPr>
          <w:rFonts w:eastAsia="Times New Roman"/>
          <w:color w:val="000000"/>
        </w:rPr>
      </w:pPr>
      <w:r>
        <w:rPr>
          <w:noProof/>
        </w:rPr>
        <w:drawing>
          <wp:inline distT="0" distB="0" distL="0" distR="0">
            <wp:extent cx="5874511" cy="452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879980" cy="4528587"/>
                    </a:xfrm>
                    <a:prstGeom prst="rect">
                      <a:avLst/>
                    </a:prstGeom>
                  </pic:spPr>
                </pic:pic>
              </a:graphicData>
            </a:graphic>
          </wp:inline>
        </w:drawing>
      </w:r>
    </w:p>
    <w:p w:rsidR="00C43A43" w:rsidRDefault="00C43A43" w:rsidP="00CD4B6A">
      <w:pPr>
        <w:rPr>
          <w:rFonts w:eastAsia="Times New Roman"/>
          <w:b/>
          <w:color w:val="000000"/>
        </w:rPr>
      </w:pPr>
      <w:r w:rsidRPr="00C43A43">
        <w:rPr>
          <w:rFonts w:eastAsia="Times New Roman"/>
          <w:b/>
          <w:color w:val="000000"/>
        </w:rPr>
        <w:t>6.  Looking at the chart, is your county doing better or worse than the state?  Discuss why (e.g., your county has programming available that specifically ensures a warm handoff for follow-up services). </w:t>
      </w:r>
    </w:p>
    <w:p w:rsidR="00921A7A" w:rsidRPr="00A908BB" w:rsidRDefault="00DB13A0" w:rsidP="00DB13A0">
      <w:pPr>
        <w:spacing w:after="0" w:line="240" w:lineRule="auto"/>
        <w:rPr>
          <w:rFonts w:asciiTheme="minorHAnsi" w:eastAsia="Times New Roman" w:hAnsiTheme="minorHAnsi" w:cstheme="minorHAnsi"/>
          <w:b/>
        </w:rPr>
      </w:pPr>
      <w:r w:rsidRPr="00A908BB">
        <w:rPr>
          <w:rFonts w:asciiTheme="minorHAnsi" w:eastAsia="Times New Roman" w:hAnsiTheme="minorHAnsi" w:cstheme="minorHAnsi"/>
          <w:b/>
        </w:rPr>
        <w:t xml:space="preserve">Sonoma County has lower re-hospitalization rates than the state average. </w:t>
      </w:r>
      <w:r w:rsidR="00921A7A" w:rsidRPr="00A908BB">
        <w:rPr>
          <w:rFonts w:asciiTheme="minorHAnsi" w:eastAsia="Times New Roman" w:hAnsiTheme="minorHAnsi" w:cstheme="minorHAnsi"/>
          <w:b/>
        </w:rPr>
        <w:t>In 20</w:t>
      </w:r>
      <w:r w:rsidR="007B5AE3" w:rsidRPr="00A908BB">
        <w:rPr>
          <w:rFonts w:asciiTheme="minorHAnsi" w:eastAsia="Times New Roman" w:hAnsiTheme="minorHAnsi" w:cstheme="minorHAnsi"/>
          <w:b/>
        </w:rPr>
        <w:t xml:space="preserve">09 </w:t>
      </w:r>
      <w:r w:rsidR="00921A7A" w:rsidRPr="00A908BB">
        <w:rPr>
          <w:rFonts w:asciiTheme="minorHAnsi" w:eastAsia="Times New Roman" w:hAnsiTheme="minorHAnsi" w:cstheme="minorHAnsi"/>
          <w:b/>
        </w:rPr>
        <w:t xml:space="preserve">SC-BHD implemented a process for behavioral health staff to go to the home of any MediCal beneficiary </w:t>
      </w:r>
      <w:r w:rsidR="00514CBA" w:rsidRPr="00A908BB">
        <w:rPr>
          <w:rFonts w:asciiTheme="minorHAnsi" w:eastAsia="Times New Roman" w:hAnsiTheme="minorHAnsi" w:cstheme="minorHAnsi"/>
          <w:b/>
        </w:rPr>
        <w:t>or any</w:t>
      </w:r>
      <w:r w:rsidR="0005010E" w:rsidRPr="00A908BB">
        <w:rPr>
          <w:rFonts w:asciiTheme="minorHAnsi" w:eastAsia="Times New Roman" w:hAnsiTheme="minorHAnsi" w:cstheme="minorHAnsi"/>
          <w:b/>
        </w:rPr>
        <w:t xml:space="preserve"> Sonoma County residents who have no mental health coverage, </w:t>
      </w:r>
      <w:r w:rsidR="00921A7A" w:rsidRPr="00A908BB">
        <w:rPr>
          <w:rFonts w:asciiTheme="minorHAnsi" w:eastAsia="Times New Roman" w:hAnsiTheme="minorHAnsi" w:cstheme="minorHAnsi"/>
          <w:b/>
        </w:rPr>
        <w:t xml:space="preserve">who has </w:t>
      </w:r>
      <w:r w:rsidR="0005010E" w:rsidRPr="00A908BB">
        <w:rPr>
          <w:rFonts w:asciiTheme="minorHAnsi" w:eastAsia="Times New Roman" w:hAnsiTheme="minorHAnsi" w:cstheme="minorHAnsi"/>
          <w:b/>
        </w:rPr>
        <w:t xml:space="preserve">recently </w:t>
      </w:r>
      <w:r w:rsidR="00921A7A" w:rsidRPr="00A908BB">
        <w:rPr>
          <w:rFonts w:asciiTheme="minorHAnsi" w:eastAsia="Times New Roman" w:hAnsiTheme="minorHAnsi" w:cstheme="minorHAnsi"/>
          <w:b/>
        </w:rPr>
        <w:t>experienc</w:t>
      </w:r>
      <w:r w:rsidR="0005010E" w:rsidRPr="00A908BB">
        <w:rPr>
          <w:rFonts w:asciiTheme="minorHAnsi" w:eastAsia="Times New Roman" w:hAnsiTheme="minorHAnsi" w:cstheme="minorHAnsi"/>
          <w:b/>
        </w:rPr>
        <w:t xml:space="preserve">ed </w:t>
      </w:r>
      <w:r w:rsidRPr="00A908BB">
        <w:rPr>
          <w:rFonts w:asciiTheme="minorHAnsi" w:eastAsia="Times New Roman" w:hAnsiTheme="minorHAnsi" w:cstheme="minorHAnsi"/>
          <w:b/>
        </w:rPr>
        <w:t xml:space="preserve">a psychiatric hospitalization. These home visits take </w:t>
      </w:r>
      <w:r w:rsidR="0005010E" w:rsidRPr="00A908BB">
        <w:rPr>
          <w:rFonts w:asciiTheme="minorHAnsi" w:eastAsia="Times New Roman" w:hAnsiTheme="minorHAnsi" w:cstheme="minorHAnsi"/>
          <w:b/>
        </w:rPr>
        <w:t>place within</w:t>
      </w:r>
      <w:r w:rsidRPr="00A908BB">
        <w:rPr>
          <w:rFonts w:asciiTheme="minorHAnsi" w:eastAsia="Times New Roman" w:hAnsiTheme="minorHAnsi" w:cstheme="minorHAnsi"/>
          <w:b/>
        </w:rPr>
        <w:t xml:space="preserve"> 7 days of the benefici</w:t>
      </w:r>
      <w:r w:rsidR="0005010E" w:rsidRPr="00A908BB">
        <w:rPr>
          <w:rFonts w:asciiTheme="minorHAnsi" w:eastAsia="Times New Roman" w:hAnsiTheme="minorHAnsi" w:cstheme="minorHAnsi"/>
          <w:b/>
        </w:rPr>
        <w:t xml:space="preserve">ary’s </w:t>
      </w:r>
      <w:r w:rsidRPr="00A908BB">
        <w:rPr>
          <w:rFonts w:asciiTheme="minorHAnsi" w:eastAsia="Times New Roman" w:hAnsiTheme="minorHAnsi" w:cstheme="minorHAnsi"/>
          <w:b/>
        </w:rPr>
        <w:t xml:space="preserve">discharge. </w:t>
      </w:r>
      <w:r w:rsidR="00921A7A" w:rsidRPr="00A908BB">
        <w:rPr>
          <w:rFonts w:asciiTheme="minorHAnsi" w:eastAsia="Times New Roman" w:hAnsiTheme="minorHAnsi" w:cstheme="minorHAnsi"/>
          <w:b/>
        </w:rPr>
        <w:t xml:space="preserve"> The purpose of the </w:t>
      </w:r>
      <w:r w:rsidRPr="00A908BB">
        <w:rPr>
          <w:rFonts w:asciiTheme="minorHAnsi" w:eastAsia="Times New Roman" w:hAnsiTheme="minorHAnsi" w:cstheme="minorHAnsi"/>
          <w:b/>
        </w:rPr>
        <w:t xml:space="preserve">post-psychiatric hospitalization home </w:t>
      </w:r>
      <w:r w:rsidR="00921A7A" w:rsidRPr="00A908BB">
        <w:rPr>
          <w:rFonts w:asciiTheme="minorHAnsi" w:eastAsia="Times New Roman" w:hAnsiTheme="minorHAnsi" w:cstheme="minorHAnsi"/>
          <w:b/>
        </w:rPr>
        <w:t xml:space="preserve">visit is to </w:t>
      </w:r>
      <w:r w:rsidRPr="00A908BB">
        <w:rPr>
          <w:rFonts w:asciiTheme="minorHAnsi" w:eastAsia="Times New Roman" w:hAnsiTheme="minorHAnsi" w:cstheme="minorHAnsi"/>
          <w:b/>
        </w:rPr>
        <w:t>assess the beneficiary’s current status,</w:t>
      </w:r>
      <w:r w:rsidR="00514CBA" w:rsidRPr="00A908BB">
        <w:rPr>
          <w:rFonts w:asciiTheme="minorHAnsi" w:eastAsia="Times New Roman" w:hAnsiTheme="minorHAnsi" w:cstheme="minorHAnsi"/>
          <w:b/>
        </w:rPr>
        <w:t xml:space="preserve"> including mental status,</w:t>
      </w:r>
      <w:r w:rsidRPr="00A908BB">
        <w:rPr>
          <w:rFonts w:asciiTheme="minorHAnsi" w:eastAsia="Times New Roman" w:hAnsiTheme="minorHAnsi" w:cstheme="minorHAnsi"/>
          <w:b/>
        </w:rPr>
        <w:t xml:space="preserve"> living</w:t>
      </w:r>
      <w:r w:rsidR="00514CBA" w:rsidRPr="00A908BB">
        <w:rPr>
          <w:rFonts w:asciiTheme="minorHAnsi" w:eastAsia="Times New Roman" w:hAnsiTheme="minorHAnsi" w:cstheme="minorHAnsi"/>
          <w:b/>
        </w:rPr>
        <w:t xml:space="preserve"> situation</w:t>
      </w:r>
      <w:r w:rsidRPr="00A908BB">
        <w:rPr>
          <w:rFonts w:asciiTheme="minorHAnsi" w:eastAsia="Times New Roman" w:hAnsiTheme="minorHAnsi" w:cstheme="minorHAnsi"/>
          <w:b/>
        </w:rPr>
        <w:t xml:space="preserve">, </w:t>
      </w:r>
      <w:r w:rsidR="00514CBA" w:rsidRPr="00A908BB">
        <w:rPr>
          <w:rFonts w:asciiTheme="minorHAnsi" w:eastAsia="Times New Roman" w:hAnsiTheme="minorHAnsi" w:cstheme="minorHAnsi"/>
          <w:b/>
        </w:rPr>
        <w:t xml:space="preserve"> assess living </w:t>
      </w:r>
      <w:r w:rsidRPr="00A908BB">
        <w:rPr>
          <w:rFonts w:asciiTheme="minorHAnsi" w:eastAsia="Times New Roman" w:hAnsiTheme="minorHAnsi" w:cstheme="minorHAnsi"/>
          <w:b/>
        </w:rPr>
        <w:t>environment</w:t>
      </w:r>
      <w:r w:rsidR="00514CBA" w:rsidRPr="00A908BB">
        <w:rPr>
          <w:rFonts w:asciiTheme="minorHAnsi" w:eastAsia="Times New Roman" w:hAnsiTheme="minorHAnsi" w:cstheme="minorHAnsi"/>
          <w:b/>
        </w:rPr>
        <w:t xml:space="preserve"> </w:t>
      </w:r>
      <w:r w:rsidRPr="00A908BB">
        <w:rPr>
          <w:rFonts w:asciiTheme="minorHAnsi" w:eastAsia="Times New Roman" w:hAnsiTheme="minorHAnsi" w:cstheme="minorHAnsi"/>
          <w:b/>
        </w:rPr>
        <w:t>, monitor progress toward medication adherence, and identify follow up actions and appointments the benefic</w:t>
      </w:r>
      <w:r w:rsidR="0005010E" w:rsidRPr="00A908BB">
        <w:rPr>
          <w:rFonts w:asciiTheme="minorHAnsi" w:eastAsia="Times New Roman" w:hAnsiTheme="minorHAnsi" w:cstheme="minorHAnsi"/>
          <w:b/>
        </w:rPr>
        <w:t xml:space="preserve">iary may need, and ensure linkage to current providers or assist with identification of a provider who can provide follow up care. </w:t>
      </w:r>
    </w:p>
    <w:p w:rsidR="0005010E" w:rsidRPr="00A908BB" w:rsidRDefault="0005010E" w:rsidP="00DB13A0">
      <w:pPr>
        <w:spacing w:after="0" w:line="240" w:lineRule="auto"/>
        <w:rPr>
          <w:rFonts w:asciiTheme="minorHAnsi" w:eastAsia="Times New Roman" w:hAnsiTheme="minorHAnsi" w:cstheme="minorHAnsi"/>
          <w:b/>
        </w:rPr>
      </w:pPr>
    </w:p>
    <w:p w:rsidR="0005010E" w:rsidRPr="00A908BB" w:rsidRDefault="0005010E" w:rsidP="00DB13A0">
      <w:pPr>
        <w:spacing w:after="0" w:line="240" w:lineRule="auto"/>
        <w:rPr>
          <w:rFonts w:asciiTheme="minorHAnsi" w:eastAsia="Times New Roman" w:hAnsiTheme="minorHAnsi" w:cstheme="minorHAnsi"/>
          <w:b/>
        </w:rPr>
      </w:pPr>
      <w:r w:rsidRPr="00A908BB">
        <w:rPr>
          <w:rFonts w:asciiTheme="minorHAnsi" w:eastAsia="Times New Roman" w:hAnsiTheme="minorHAnsi" w:cstheme="minorHAnsi"/>
          <w:b/>
        </w:rPr>
        <w:t>These home visits also provide behavioral health clinicians an opportunity to screen whether the beneficiary who has just experienced a psychiatric hospitalization, should be assessed for sp</w:t>
      </w:r>
      <w:r w:rsidR="007B5AE3" w:rsidRPr="00A908BB">
        <w:rPr>
          <w:rFonts w:asciiTheme="minorHAnsi" w:eastAsia="Times New Roman" w:hAnsiTheme="minorHAnsi" w:cstheme="minorHAnsi"/>
          <w:b/>
        </w:rPr>
        <w:t xml:space="preserve">ecialty mental health services, whether the individual is able to follow discharge instructions including garnering medications and if the individual is set up with an outpatient follow up appointment.  </w:t>
      </w:r>
    </w:p>
    <w:p w:rsidR="00C43A43" w:rsidRPr="00921A7A" w:rsidRDefault="00C43A43" w:rsidP="00C43A43">
      <w:pPr>
        <w:rPr>
          <w:color w:val="C00000"/>
        </w:rPr>
      </w:pPr>
    </w:p>
    <w:p w:rsidR="00C43A43" w:rsidRDefault="00C43A43" w:rsidP="00C43A43">
      <w:pPr>
        <w:rPr>
          <w:b/>
        </w:rPr>
      </w:pPr>
      <w:r w:rsidRPr="00C43A43">
        <w:rPr>
          <w:b/>
        </w:rPr>
        <w:t>7.  Do you have any suggestions on how your county can improve follow-up and reduce re-hospitalizations?</w:t>
      </w:r>
    </w:p>
    <w:p w:rsidR="007B5AE3" w:rsidRPr="00A908BB" w:rsidRDefault="007B5AE3" w:rsidP="00C43A43">
      <w:pPr>
        <w:rPr>
          <w:rFonts w:asciiTheme="minorHAnsi" w:hAnsiTheme="minorHAnsi"/>
          <w:b/>
        </w:rPr>
      </w:pPr>
      <w:r w:rsidRPr="00A908BB">
        <w:rPr>
          <w:rFonts w:asciiTheme="minorHAnsi" w:hAnsiTheme="minorHAnsi"/>
          <w:b/>
        </w:rPr>
        <w:t xml:space="preserve">Continued attention </w:t>
      </w:r>
      <w:r w:rsidR="00A908BB">
        <w:rPr>
          <w:rFonts w:asciiTheme="minorHAnsi" w:hAnsiTheme="minorHAnsi"/>
          <w:b/>
        </w:rPr>
        <w:t xml:space="preserve">to </w:t>
      </w:r>
      <w:r w:rsidR="00BC061D" w:rsidRPr="00A908BB">
        <w:rPr>
          <w:rFonts w:asciiTheme="minorHAnsi" w:hAnsiTheme="minorHAnsi"/>
          <w:b/>
        </w:rPr>
        <w:t xml:space="preserve">this </w:t>
      </w:r>
      <w:r w:rsidRPr="00A908BB">
        <w:rPr>
          <w:rFonts w:asciiTheme="minorHAnsi" w:hAnsiTheme="minorHAnsi"/>
          <w:b/>
        </w:rPr>
        <w:t>project will continue to keep re-hospitalization down</w:t>
      </w:r>
      <w:r w:rsidR="00BC061D" w:rsidRPr="00A908BB">
        <w:rPr>
          <w:rFonts w:asciiTheme="minorHAnsi" w:hAnsiTheme="minorHAnsi"/>
          <w:b/>
        </w:rPr>
        <w:t xml:space="preserve"> in Sonoma County</w:t>
      </w:r>
      <w:r w:rsidRPr="00A908BB">
        <w:rPr>
          <w:rFonts w:asciiTheme="minorHAnsi" w:hAnsiTheme="minorHAnsi"/>
          <w:b/>
        </w:rPr>
        <w:t xml:space="preserve">. </w:t>
      </w:r>
    </w:p>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BC061D" w:rsidRDefault="00BC061D" w:rsidP="00EC1B86">
      <w:pPr>
        <w:spacing w:after="0" w:line="240" w:lineRule="auto"/>
        <w:rPr>
          <w:rFonts w:asciiTheme="minorHAnsi" w:hAnsiTheme="minorHAnsi"/>
          <w:b/>
          <w:color w:val="C00000"/>
        </w:rPr>
      </w:pPr>
    </w:p>
    <w:p w:rsidR="00D53809" w:rsidRPr="00A908BB" w:rsidRDefault="00EC1B86" w:rsidP="00EC1B86">
      <w:pPr>
        <w:spacing w:after="0" w:line="240" w:lineRule="auto"/>
        <w:rPr>
          <w:rFonts w:asciiTheme="minorHAnsi" w:hAnsiTheme="minorHAnsi"/>
          <w:b/>
        </w:rPr>
      </w:pPr>
      <w:r w:rsidRPr="00A908BB">
        <w:rPr>
          <w:rFonts w:asciiTheme="minorHAnsi" w:hAnsiTheme="minorHAnsi"/>
          <w:b/>
        </w:rPr>
        <w:t xml:space="preserve">Barriers to care are vary based upon diverse population needs. However, some barriers to service include </w:t>
      </w:r>
    </w:p>
    <w:p w:rsidR="00D53809" w:rsidRPr="00A908BB" w:rsidRDefault="00D53809" w:rsidP="00EC1B86">
      <w:pPr>
        <w:spacing w:after="0" w:line="240" w:lineRule="auto"/>
        <w:rPr>
          <w:rFonts w:asciiTheme="minorHAnsi" w:hAnsiTheme="minorHAnsi"/>
          <w:b/>
        </w:rPr>
      </w:pPr>
    </w:p>
    <w:p w:rsidR="00A63A2E" w:rsidRPr="00A908BB" w:rsidRDefault="00D53809" w:rsidP="00D53809">
      <w:pPr>
        <w:pStyle w:val="ListParagraph"/>
        <w:numPr>
          <w:ilvl w:val="0"/>
          <w:numId w:val="31"/>
        </w:numPr>
        <w:spacing w:after="0" w:line="240" w:lineRule="auto"/>
        <w:rPr>
          <w:rFonts w:asciiTheme="minorHAnsi" w:hAnsiTheme="minorHAnsi"/>
          <w:b/>
        </w:rPr>
      </w:pPr>
      <w:r w:rsidRPr="00A908BB">
        <w:rPr>
          <w:rFonts w:asciiTheme="minorHAnsi" w:hAnsiTheme="minorHAnsi"/>
          <w:b/>
        </w:rPr>
        <w:t>L</w:t>
      </w:r>
      <w:r w:rsidR="00EC1B86" w:rsidRPr="00A908BB">
        <w:rPr>
          <w:rFonts w:asciiTheme="minorHAnsi" w:hAnsiTheme="minorHAnsi"/>
          <w:b/>
        </w:rPr>
        <w:t>anguage barriers for people who speak a language othe</w:t>
      </w:r>
      <w:r w:rsidR="00A63A2E" w:rsidRPr="00A908BB">
        <w:rPr>
          <w:rFonts w:asciiTheme="minorHAnsi" w:hAnsiTheme="minorHAnsi"/>
          <w:b/>
        </w:rPr>
        <w:t xml:space="preserve">r than English. Sonoma County has one threshold language which </w:t>
      </w:r>
      <w:r w:rsidR="00EC1B86" w:rsidRPr="00A908BB">
        <w:rPr>
          <w:rFonts w:asciiTheme="minorHAnsi" w:hAnsiTheme="minorHAnsi"/>
          <w:b/>
        </w:rPr>
        <w:t xml:space="preserve">is Spanish. Sonoma County is working on workforce recruitment strategies to recruit, hire, train, and retain people who speak Spanish and who are also bi-cultural. </w:t>
      </w:r>
    </w:p>
    <w:p w:rsidR="00A63A2E" w:rsidRPr="00A908BB" w:rsidRDefault="00A63A2E" w:rsidP="00EC1B86">
      <w:pPr>
        <w:spacing w:after="0" w:line="240" w:lineRule="auto"/>
        <w:rPr>
          <w:rFonts w:asciiTheme="minorHAnsi" w:hAnsiTheme="minorHAnsi"/>
          <w:b/>
        </w:rPr>
      </w:pPr>
    </w:p>
    <w:p w:rsidR="00D53809" w:rsidRDefault="00D53809" w:rsidP="00D53809">
      <w:pPr>
        <w:pStyle w:val="ListParagraph"/>
        <w:numPr>
          <w:ilvl w:val="0"/>
          <w:numId w:val="31"/>
        </w:numPr>
        <w:spacing w:after="0" w:line="240" w:lineRule="auto"/>
        <w:rPr>
          <w:rFonts w:asciiTheme="minorHAnsi" w:hAnsiTheme="minorHAnsi"/>
          <w:b/>
        </w:rPr>
      </w:pPr>
      <w:r w:rsidRPr="00A908BB">
        <w:rPr>
          <w:rFonts w:asciiTheme="minorHAnsi" w:hAnsiTheme="minorHAnsi"/>
          <w:b/>
        </w:rPr>
        <w:t>S</w:t>
      </w:r>
      <w:r w:rsidR="00A63A2E" w:rsidRPr="00A908BB">
        <w:rPr>
          <w:rFonts w:asciiTheme="minorHAnsi" w:hAnsiTheme="minorHAnsi"/>
          <w:b/>
        </w:rPr>
        <w:t>hortage of psychiatrists is a national problem, particularly child psychiatrists</w:t>
      </w:r>
      <w:r w:rsidRPr="00A908BB">
        <w:rPr>
          <w:rFonts w:asciiTheme="minorHAnsi" w:hAnsiTheme="minorHAnsi"/>
          <w:b/>
        </w:rPr>
        <w:t>. This is particularly an issue in Sonoma County. SC-BHD is working with a national recruiter to try and fill this gap.</w:t>
      </w:r>
    </w:p>
    <w:p w:rsidR="00A908BB" w:rsidRPr="00A908BB" w:rsidRDefault="00A908BB" w:rsidP="00A908BB">
      <w:pPr>
        <w:pStyle w:val="ListParagraph"/>
        <w:rPr>
          <w:rFonts w:asciiTheme="minorHAnsi" w:hAnsiTheme="minorHAnsi"/>
          <w:b/>
        </w:rPr>
      </w:pPr>
    </w:p>
    <w:p w:rsidR="00A908BB" w:rsidRPr="00A908BB" w:rsidRDefault="00A908BB" w:rsidP="00D53809">
      <w:pPr>
        <w:pStyle w:val="ListParagraph"/>
        <w:numPr>
          <w:ilvl w:val="0"/>
          <w:numId w:val="31"/>
        </w:numPr>
        <w:spacing w:after="0" w:line="240" w:lineRule="auto"/>
        <w:rPr>
          <w:rFonts w:asciiTheme="minorHAnsi" w:hAnsiTheme="minorHAnsi"/>
          <w:b/>
        </w:rPr>
      </w:pPr>
      <w:r w:rsidRPr="00A908BB">
        <w:rPr>
          <w:rFonts w:asciiTheme="minorHAnsi" w:hAnsiTheme="minorHAnsi"/>
          <w:b/>
        </w:rPr>
        <w:t xml:space="preserve">Transportation is always issue in rural counties. Improving mobility is vital in allowing access to services in areas outside of major population hubs. The responsibility for infrastructure to improve transportation rests at the federal, state, county, and city levels.  To impact this issue, SC-BHD has offices located throughout Sonoma County, however transportation to those sites can create barriers for people of fixed incomes. </w:t>
      </w:r>
      <w:r w:rsidRPr="00A908BB">
        <w:rPr>
          <w:rFonts w:asciiTheme="minorHAnsi" w:hAnsiTheme="minorHAnsi"/>
          <w:b/>
          <w:color w:val="C00000"/>
        </w:rPr>
        <w:t xml:space="preserve"> </w:t>
      </w:r>
    </w:p>
    <w:p w:rsidR="00D53809" w:rsidRPr="00A908BB" w:rsidRDefault="00D53809" w:rsidP="00EC1B86">
      <w:pPr>
        <w:spacing w:after="0" w:line="240" w:lineRule="auto"/>
        <w:rPr>
          <w:rFonts w:asciiTheme="minorHAnsi" w:hAnsiTheme="minorHAnsi"/>
          <w:b/>
        </w:rPr>
      </w:pPr>
    </w:p>
    <w:p w:rsidR="00C43A43" w:rsidRPr="00A908BB" w:rsidRDefault="00C43A43" w:rsidP="00A908BB">
      <w:pPr>
        <w:spacing w:after="0" w:line="240" w:lineRule="auto"/>
        <w:rPr>
          <w:rFonts w:asciiTheme="minorHAnsi" w:hAnsiTheme="minorHAnsi"/>
          <w:b/>
          <w:color w:val="C00000"/>
        </w:rPr>
      </w:pPr>
      <w:r w:rsidRPr="00A908BB">
        <w:rPr>
          <w:rFonts w:asciiTheme="minorHAnsi" w:hAnsiTheme="minorHAnsi"/>
          <w:b/>
          <w:color w:val="C00000"/>
        </w:rPr>
        <w:br w:type="page"/>
      </w:r>
    </w:p>
    <w:p w:rsidR="00BC061D" w:rsidRDefault="00BC061D" w:rsidP="005E1B03">
      <w:pPr>
        <w:pStyle w:val="Heading5"/>
      </w:pPr>
    </w:p>
    <w:p w:rsidR="00C43A43" w:rsidRPr="005E1B03" w:rsidRDefault="00D05CD4" w:rsidP="005E1B03">
      <w:pPr>
        <w:pStyle w:val="Heading5"/>
      </w:pPr>
      <w:r w:rsidRPr="005E1B03">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into these communities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C26531" w:rsidRDefault="00AB1626" w:rsidP="00C43A43">
      <w:r>
        <w:rPr>
          <w:b/>
        </w:rPr>
        <w:t>Sonoma County</w:t>
      </w:r>
      <w:r w:rsidR="00C26531">
        <w:t>:</w:t>
      </w:r>
    </w:p>
    <w:p w:rsidR="00E57519" w:rsidRPr="00C43A43" w:rsidRDefault="00E57519" w:rsidP="00C43A43">
      <w:r>
        <w:rPr>
          <w:noProof/>
        </w:rPr>
        <w:drawing>
          <wp:inline distT="0" distB="0" distL="0" distR="0">
            <wp:extent cx="4286250" cy="569022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288595" cy="5693337"/>
                    </a:xfrm>
                    <a:prstGeom prst="rect">
                      <a:avLst/>
                    </a:prstGeom>
                  </pic:spPr>
                </pic:pic>
              </a:graphicData>
            </a:graphic>
          </wp:inline>
        </w:drawing>
      </w:r>
    </w:p>
    <w:p w:rsidR="00D05CD4" w:rsidRDefault="00D05CD4" w:rsidP="00C26531">
      <w:pPr>
        <w:pStyle w:val="Header"/>
        <w:tabs>
          <w:tab w:val="clear" w:pos="4680"/>
          <w:tab w:val="clear" w:pos="9360"/>
        </w:tabs>
        <w:spacing w:after="200" w:line="276" w:lineRule="auto"/>
        <w:rPr>
          <w:b/>
        </w:rPr>
      </w:pPr>
    </w:p>
    <w:p w:rsidR="00C43A43" w:rsidRPr="00C43A43" w:rsidRDefault="00C43A43" w:rsidP="00C43A43">
      <w:pPr>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B9636E" w:rsidRPr="00A908BB" w:rsidRDefault="00B9636E" w:rsidP="00B9636E">
      <w:pPr>
        <w:spacing w:after="0" w:line="240" w:lineRule="auto"/>
        <w:rPr>
          <w:rFonts w:asciiTheme="minorHAnsi" w:hAnsiTheme="minorHAnsi" w:cstheme="minorHAnsi"/>
          <w:b/>
        </w:rPr>
      </w:pPr>
      <w:r w:rsidRPr="00A908BB">
        <w:rPr>
          <w:rFonts w:asciiTheme="minorHAnsi" w:hAnsiTheme="minorHAnsi" w:cstheme="minorHAnsi"/>
          <w:b/>
        </w:rPr>
        <w:t xml:space="preserve">Sonoma County has high penetration rates to most race/and ethnic MediCal beneficiaries except for Latino MediCal beneficiaries. </w:t>
      </w:r>
      <w:r w:rsidR="00DB5B1A" w:rsidRPr="00A908BB">
        <w:rPr>
          <w:rFonts w:asciiTheme="minorHAnsi" w:hAnsiTheme="minorHAnsi" w:cstheme="minorHAnsi"/>
          <w:b/>
        </w:rPr>
        <w:t>Forty-six percent</w:t>
      </w:r>
      <w:r w:rsidR="00DF4D35" w:rsidRPr="00A908BB">
        <w:rPr>
          <w:rFonts w:asciiTheme="minorHAnsi" w:hAnsiTheme="minorHAnsi" w:cstheme="minorHAnsi"/>
          <w:b/>
        </w:rPr>
        <w:t xml:space="preserve"> of all MediCal beneficiaries in Sonoma County are under the age of </w:t>
      </w:r>
      <w:r w:rsidR="00DB5B1A" w:rsidRPr="00A908BB">
        <w:rPr>
          <w:rFonts w:asciiTheme="minorHAnsi" w:hAnsiTheme="minorHAnsi" w:cstheme="minorHAnsi"/>
          <w:b/>
        </w:rPr>
        <w:t>18.</w:t>
      </w:r>
    </w:p>
    <w:p w:rsidR="00B9636E" w:rsidRPr="00A908BB" w:rsidRDefault="00B9636E" w:rsidP="00B9636E">
      <w:pPr>
        <w:pStyle w:val="Default"/>
        <w:rPr>
          <w:color w:val="auto"/>
        </w:rPr>
      </w:pPr>
    </w:p>
    <w:p w:rsidR="00B9636E" w:rsidRPr="00A908BB" w:rsidRDefault="00370CFB" w:rsidP="00B9636E">
      <w:pPr>
        <w:pStyle w:val="Default"/>
        <w:rPr>
          <w:color w:val="auto"/>
          <w:sz w:val="23"/>
          <w:szCs w:val="23"/>
        </w:rPr>
      </w:pPr>
      <w:r w:rsidRPr="00A908BB">
        <w:rPr>
          <w:rFonts w:asciiTheme="minorHAnsi" w:hAnsiTheme="minorHAnsi" w:cstheme="minorHAnsi"/>
          <w:b/>
          <w:color w:val="auto"/>
        </w:rPr>
        <w:t xml:space="preserve">This under-representation </w:t>
      </w:r>
      <w:r w:rsidR="00DF4D35" w:rsidRPr="00A908BB">
        <w:rPr>
          <w:rFonts w:asciiTheme="minorHAnsi" w:hAnsiTheme="minorHAnsi" w:cstheme="minorHAnsi"/>
          <w:b/>
          <w:color w:val="auto"/>
        </w:rPr>
        <w:t xml:space="preserve">in MediCal service </w:t>
      </w:r>
      <w:r w:rsidRPr="00A908BB">
        <w:rPr>
          <w:rFonts w:asciiTheme="minorHAnsi" w:hAnsiTheme="minorHAnsi" w:cstheme="minorHAnsi"/>
          <w:b/>
          <w:color w:val="auto"/>
        </w:rPr>
        <w:t xml:space="preserve">may be </w:t>
      </w:r>
      <w:r w:rsidR="00B9636E" w:rsidRPr="00A908BB">
        <w:rPr>
          <w:rFonts w:asciiTheme="minorHAnsi" w:hAnsiTheme="minorHAnsi" w:cstheme="minorHAnsi"/>
          <w:b/>
          <w:color w:val="auto"/>
        </w:rPr>
        <w:t xml:space="preserve">reflective, in part, of a </w:t>
      </w:r>
      <w:r w:rsidRPr="00A908BB">
        <w:rPr>
          <w:rFonts w:asciiTheme="minorHAnsi" w:hAnsiTheme="minorHAnsi" w:cstheme="minorHAnsi"/>
          <w:b/>
          <w:color w:val="auto"/>
        </w:rPr>
        <w:t xml:space="preserve">MediCal </w:t>
      </w:r>
      <w:r w:rsidR="00B9636E" w:rsidRPr="00A908BB">
        <w:rPr>
          <w:rFonts w:asciiTheme="minorHAnsi" w:hAnsiTheme="minorHAnsi" w:cstheme="minorHAnsi"/>
          <w:b/>
          <w:color w:val="auto"/>
        </w:rPr>
        <w:t>population</w:t>
      </w:r>
      <w:r w:rsidRPr="00A908BB">
        <w:rPr>
          <w:rFonts w:asciiTheme="minorHAnsi" w:hAnsiTheme="minorHAnsi" w:cstheme="minorHAnsi"/>
          <w:b/>
          <w:color w:val="auto"/>
        </w:rPr>
        <w:t xml:space="preserve"> who are </w:t>
      </w:r>
      <w:r w:rsidR="00B9636E" w:rsidRPr="00A908BB">
        <w:rPr>
          <w:rFonts w:asciiTheme="minorHAnsi" w:hAnsiTheme="minorHAnsi" w:cstheme="minorHAnsi"/>
          <w:b/>
          <w:color w:val="auto"/>
        </w:rPr>
        <w:t>too young to exhibit diagnosable problems</w:t>
      </w:r>
      <w:r w:rsidR="00D04E1F" w:rsidRPr="00A908BB">
        <w:rPr>
          <w:rFonts w:asciiTheme="minorHAnsi" w:hAnsiTheme="minorHAnsi" w:cstheme="minorHAnsi"/>
          <w:b/>
          <w:color w:val="auto"/>
        </w:rPr>
        <w:t xml:space="preserve">. Furthermore, behavioral health </w:t>
      </w:r>
      <w:r w:rsidR="00B9636E" w:rsidRPr="00A908BB">
        <w:rPr>
          <w:rFonts w:asciiTheme="minorHAnsi" w:hAnsiTheme="minorHAnsi" w:cstheme="minorHAnsi"/>
          <w:b/>
          <w:color w:val="auto"/>
        </w:rPr>
        <w:t>clinician’s</w:t>
      </w:r>
      <w:r w:rsidR="00D04E1F" w:rsidRPr="00A908BB">
        <w:rPr>
          <w:rFonts w:asciiTheme="minorHAnsi" w:hAnsiTheme="minorHAnsi" w:cstheme="minorHAnsi"/>
          <w:b/>
          <w:color w:val="auto"/>
        </w:rPr>
        <w:t xml:space="preserve"> are very cautious in diagnosing for concern for </w:t>
      </w:r>
      <w:r w:rsidR="00B9636E" w:rsidRPr="00A908BB">
        <w:rPr>
          <w:rFonts w:asciiTheme="minorHAnsi" w:hAnsiTheme="minorHAnsi" w:cstheme="minorHAnsi"/>
          <w:b/>
          <w:color w:val="auto"/>
        </w:rPr>
        <w:t>early labeling of small children. Other potential disparities include language/cultural barriers, and certain racial/ethnic parents avoid seeking mental health services for fear of labeling, stereotyping, and stigmatizing of their children and themselves</w:t>
      </w:r>
      <w:r w:rsidR="00B9636E" w:rsidRPr="00A908BB">
        <w:rPr>
          <w:color w:val="auto"/>
          <w:sz w:val="23"/>
          <w:szCs w:val="23"/>
        </w:rPr>
        <w:t xml:space="preserve">. </w:t>
      </w:r>
    </w:p>
    <w:p w:rsidR="00D04E1F" w:rsidRPr="00A908BB" w:rsidRDefault="00D04E1F" w:rsidP="00B9636E">
      <w:pPr>
        <w:pStyle w:val="Default"/>
        <w:rPr>
          <w:rFonts w:asciiTheme="minorHAnsi" w:hAnsiTheme="minorHAnsi" w:cstheme="minorHAnsi"/>
          <w:b/>
          <w:color w:val="auto"/>
        </w:rPr>
      </w:pPr>
    </w:p>
    <w:p w:rsidR="00D04E1F" w:rsidRPr="00A908BB" w:rsidRDefault="00DF4D35" w:rsidP="00B9636E">
      <w:pPr>
        <w:pStyle w:val="Default"/>
        <w:rPr>
          <w:rFonts w:asciiTheme="minorHAnsi" w:hAnsiTheme="minorHAnsi" w:cstheme="minorHAnsi"/>
          <w:b/>
          <w:color w:val="auto"/>
        </w:rPr>
      </w:pPr>
      <w:r w:rsidRPr="00A908BB">
        <w:rPr>
          <w:rFonts w:asciiTheme="minorHAnsi" w:hAnsiTheme="minorHAnsi" w:cstheme="minorHAnsi"/>
          <w:b/>
          <w:color w:val="auto"/>
        </w:rPr>
        <w:t>It is important to note that w</w:t>
      </w:r>
      <w:r w:rsidR="00D04E1F" w:rsidRPr="00A908BB">
        <w:rPr>
          <w:rFonts w:asciiTheme="minorHAnsi" w:hAnsiTheme="minorHAnsi" w:cstheme="minorHAnsi"/>
          <w:b/>
          <w:color w:val="auto"/>
        </w:rPr>
        <w:t xml:space="preserve">hat this data does not capture is SC-BHD </w:t>
      </w:r>
      <w:r w:rsidRPr="00A908BB">
        <w:rPr>
          <w:rFonts w:asciiTheme="minorHAnsi" w:hAnsiTheme="minorHAnsi" w:cstheme="minorHAnsi"/>
          <w:b/>
          <w:color w:val="auto"/>
        </w:rPr>
        <w:t xml:space="preserve">efforts to </w:t>
      </w:r>
      <w:r w:rsidR="00D04E1F" w:rsidRPr="00A908BB">
        <w:rPr>
          <w:rFonts w:asciiTheme="minorHAnsi" w:hAnsiTheme="minorHAnsi" w:cstheme="minorHAnsi"/>
          <w:b/>
          <w:color w:val="auto"/>
        </w:rPr>
        <w:t>provide</w:t>
      </w:r>
      <w:r w:rsidRPr="00A908BB">
        <w:rPr>
          <w:rFonts w:asciiTheme="minorHAnsi" w:hAnsiTheme="minorHAnsi" w:cstheme="minorHAnsi"/>
          <w:b/>
          <w:color w:val="auto"/>
        </w:rPr>
        <w:t xml:space="preserve"> screening in settings where Latinos seek care – community health centers. SC-BHD </w:t>
      </w:r>
      <w:r w:rsidR="00322B30" w:rsidRPr="00A908BB">
        <w:rPr>
          <w:rFonts w:asciiTheme="minorHAnsi" w:hAnsiTheme="minorHAnsi" w:cstheme="minorHAnsi"/>
          <w:b/>
          <w:color w:val="auto"/>
        </w:rPr>
        <w:t>funds Sonoma</w:t>
      </w:r>
      <w:r w:rsidR="00D04E1F" w:rsidRPr="00A908BB">
        <w:rPr>
          <w:rFonts w:asciiTheme="minorHAnsi" w:hAnsiTheme="minorHAnsi" w:cstheme="minorHAnsi"/>
          <w:b/>
          <w:color w:val="auto"/>
        </w:rPr>
        <w:t xml:space="preserve"> </w:t>
      </w:r>
      <w:r w:rsidR="00322B30" w:rsidRPr="00A908BB">
        <w:rPr>
          <w:rFonts w:asciiTheme="minorHAnsi" w:hAnsiTheme="minorHAnsi" w:cstheme="minorHAnsi"/>
          <w:b/>
          <w:color w:val="auto"/>
        </w:rPr>
        <w:t>County’s 0</w:t>
      </w:r>
      <w:r w:rsidR="00D04E1F" w:rsidRPr="00A908BB">
        <w:rPr>
          <w:rFonts w:asciiTheme="minorHAnsi" w:hAnsiTheme="minorHAnsi" w:cstheme="minorHAnsi"/>
          <w:b/>
          <w:color w:val="auto"/>
        </w:rPr>
        <w:t>-5 Early Childhood Collaborative</w:t>
      </w:r>
      <w:r w:rsidRPr="00A908BB">
        <w:rPr>
          <w:rFonts w:asciiTheme="minorHAnsi" w:hAnsiTheme="minorHAnsi" w:cstheme="minorHAnsi"/>
          <w:b/>
          <w:color w:val="auto"/>
        </w:rPr>
        <w:t>. One of the activities of the 0-5 Early Childhood Collaborative is to</w:t>
      </w:r>
      <w:r w:rsidR="00D04E1F" w:rsidRPr="00A908BB">
        <w:rPr>
          <w:rFonts w:asciiTheme="minorHAnsi" w:hAnsiTheme="minorHAnsi" w:cstheme="minorHAnsi"/>
          <w:b/>
          <w:color w:val="auto"/>
        </w:rPr>
        <w:t xml:space="preserve"> t</w:t>
      </w:r>
      <w:r w:rsidR="007136CC" w:rsidRPr="00A908BB">
        <w:rPr>
          <w:rFonts w:asciiTheme="minorHAnsi" w:hAnsiTheme="minorHAnsi" w:cstheme="minorHAnsi"/>
          <w:b/>
          <w:color w:val="auto"/>
        </w:rPr>
        <w:t xml:space="preserve">rain and support </w:t>
      </w:r>
      <w:r w:rsidR="003E080F" w:rsidRPr="00A908BB">
        <w:rPr>
          <w:rFonts w:asciiTheme="minorHAnsi" w:hAnsiTheme="minorHAnsi" w:cstheme="minorHAnsi"/>
          <w:b/>
          <w:color w:val="auto"/>
        </w:rPr>
        <w:t xml:space="preserve">5 </w:t>
      </w:r>
      <w:r w:rsidR="007136CC" w:rsidRPr="00A908BB">
        <w:rPr>
          <w:rFonts w:asciiTheme="minorHAnsi" w:hAnsiTheme="minorHAnsi" w:cstheme="minorHAnsi"/>
          <w:b/>
          <w:color w:val="auto"/>
        </w:rPr>
        <w:t>CHCs to</w:t>
      </w:r>
      <w:r w:rsidR="004F5096" w:rsidRPr="00A908BB">
        <w:rPr>
          <w:rFonts w:asciiTheme="minorHAnsi" w:hAnsiTheme="minorHAnsi" w:cstheme="minorHAnsi"/>
          <w:b/>
          <w:color w:val="auto"/>
        </w:rPr>
        <w:t xml:space="preserve"> </w:t>
      </w:r>
      <w:r w:rsidR="007136CC" w:rsidRPr="00A908BB">
        <w:rPr>
          <w:rFonts w:asciiTheme="minorHAnsi" w:hAnsiTheme="minorHAnsi" w:cstheme="minorHAnsi"/>
          <w:b/>
          <w:color w:val="auto"/>
        </w:rPr>
        <w:t xml:space="preserve">implement the parent administered </w:t>
      </w:r>
      <w:r w:rsidR="00D04E1F" w:rsidRPr="00A908BB">
        <w:rPr>
          <w:rFonts w:asciiTheme="minorHAnsi" w:hAnsiTheme="minorHAnsi" w:cstheme="minorHAnsi"/>
          <w:b/>
          <w:color w:val="auto"/>
        </w:rPr>
        <w:t xml:space="preserve">the Ages and Stages Questionnaire (ASQ) and </w:t>
      </w:r>
      <w:r w:rsidR="007136CC" w:rsidRPr="00A908BB">
        <w:rPr>
          <w:rFonts w:asciiTheme="minorHAnsi" w:hAnsiTheme="minorHAnsi" w:cstheme="minorHAnsi"/>
          <w:b/>
          <w:color w:val="auto"/>
        </w:rPr>
        <w:t xml:space="preserve">to train primary care providers to administer </w:t>
      </w:r>
      <w:r w:rsidR="00D04E1F" w:rsidRPr="00A908BB">
        <w:rPr>
          <w:rFonts w:asciiTheme="minorHAnsi" w:hAnsiTheme="minorHAnsi" w:cstheme="minorHAnsi"/>
          <w:b/>
          <w:color w:val="auto"/>
        </w:rPr>
        <w:t>the ASQ – Social Emotional</w:t>
      </w:r>
      <w:r w:rsidR="003E080F" w:rsidRPr="00A908BB">
        <w:rPr>
          <w:rFonts w:asciiTheme="minorHAnsi" w:hAnsiTheme="minorHAnsi" w:cstheme="minorHAnsi"/>
          <w:b/>
          <w:color w:val="auto"/>
        </w:rPr>
        <w:t xml:space="preserve"> and 2 CHCs administer the Pediatric Symptom Checklist</w:t>
      </w:r>
      <w:r w:rsidR="00D04E1F" w:rsidRPr="00A908BB">
        <w:rPr>
          <w:rFonts w:asciiTheme="minorHAnsi" w:hAnsiTheme="minorHAnsi" w:cstheme="minorHAnsi"/>
          <w:b/>
          <w:color w:val="auto"/>
        </w:rPr>
        <w:t xml:space="preserve">. </w:t>
      </w:r>
      <w:r w:rsidR="007136CC" w:rsidRPr="00A908BB">
        <w:rPr>
          <w:rFonts w:asciiTheme="minorHAnsi" w:hAnsiTheme="minorHAnsi" w:cstheme="minorHAnsi"/>
          <w:b/>
          <w:color w:val="auto"/>
        </w:rPr>
        <w:t xml:space="preserve"> These tools screen for devel</w:t>
      </w:r>
      <w:r w:rsidR="003E080F" w:rsidRPr="00A908BB">
        <w:rPr>
          <w:rFonts w:asciiTheme="minorHAnsi" w:hAnsiTheme="minorHAnsi" w:cstheme="minorHAnsi"/>
          <w:b/>
          <w:color w:val="auto"/>
        </w:rPr>
        <w:t xml:space="preserve">opmental and social-emotional issues in young children. For those children identified as having social emotional issues, referrals are made into the appropriate level of care. These referrals into specialty mental health are helped by SC-BHD staff co-located in CHCs. </w:t>
      </w:r>
    </w:p>
    <w:p w:rsidR="00C43A43" w:rsidRPr="00D04E1F" w:rsidRDefault="00C43A43" w:rsidP="00B9636E">
      <w:pPr>
        <w:spacing w:after="0" w:line="240" w:lineRule="auto"/>
        <w:rPr>
          <w:rFonts w:asciiTheme="minorHAnsi" w:hAnsiTheme="minorHAnsi" w:cstheme="minorHAnsi"/>
          <w:b/>
          <w:color w:val="C00000"/>
        </w:rPr>
      </w:pPr>
    </w:p>
    <w:p w:rsidR="00C43A43" w:rsidRPr="00C43A43" w:rsidRDefault="00C43A43" w:rsidP="00C43A43">
      <w:pPr>
        <w:rPr>
          <w:b/>
        </w:rPr>
      </w:pPr>
      <w:r w:rsidRPr="00C43A43">
        <w:rPr>
          <w:b/>
        </w:rPr>
        <w:t>10.  What outreach efforts are being made to reach minority groups in your community?</w:t>
      </w:r>
    </w:p>
    <w:p w:rsidR="0005210B" w:rsidRPr="00A908BB" w:rsidRDefault="003E080F" w:rsidP="00DB5B1A">
      <w:pPr>
        <w:spacing w:after="0" w:line="240" w:lineRule="auto"/>
        <w:rPr>
          <w:rFonts w:asciiTheme="minorHAnsi" w:hAnsiTheme="minorHAnsi" w:cstheme="minorHAnsi"/>
          <w:b/>
        </w:rPr>
      </w:pPr>
      <w:r w:rsidRPr="00A908BB">
        <w:rPr>
          <w:rFonts w:asciiTheme="minorHAnsi" w:hAnsiTheme="minorHAnsi" w:cstheme="minorHAnsi"/>
          <w:b/>
        </w:rPr>
        <w:t>As mentioned a</w:t>
      </w:r>
      <w:r w:rsidR="0005210B" w:rsidRPr="00A908BB">
        <w:rPr>
          <w:rFonts w:asciiTheme="minorHAnsi" w:hAnsiTheme="minorHAnsi" w:cstheme="minorHAnsi"/>
          <w:b/>
        </w:rPr>
        <w:t>bove, SC-BHD provides funds screening at Sonoma County’s community health centers. These screening include ASQ-SE</w:t>
      </w:r>
      <w:r w:rsidR="00DB5B1A" w:rsidRPr="00A908BB">
        <w:rPr>
          <w:rFonts w:asciiTheme="minorHAnsi" w:hAnsiTheme="minorHAnsi" w:cstheme="minorHAnsi"/>
          <w:b/>
        </w:rPr>
        <w:t xml:space="preserve"> </w:t>
      </w:r>
      <w:r w:rsidR="0005210B" w:rsidRPr="00A908BB">
        <w:rPr>
          <w:rFonts w:asciiTheme="minorHAnsi" w:hAnsiTheme="minorHAnsi" w:cstheme="minorHAnsi"/>
          <w:b/>
        </w:rPr>
        <w:t xml:space="preserve">and Pediatric Symptom Checklist, and at Sonoma County Indian Health Project, the PHQ-9. </w:t>
      </w:r>
      <w:r w:rsidR="00DB5B1A" w:rsidRPr="00A908BB">
        <w:rPr>
          <w:rFonts w:asciiTheme="minorHAnsi" w:hAnsiTheme="minorHAnsi" w:cstheme="minorHAnsi"/>
          <w:b/>
        </w:rPr>
        <w:t>The majority of people seeking services from Sonoma County’s network of community health centers are people of color</w:t>
      </w:r>
      <w:r w:rsidR="0005210B" w:rsidRPr="00A908BB">
        <w:rPr>
          <w:rFonts w:asciiTheme="minorHAnsi" w:hAnsiTheme="minorHAnsi" w:cstheme="minorHAnsi"/>
          <w:b/>
        </w:rPr>
        <w:t xml:space="preserve">, </w:t>
      </w:r>
      <w:r w:rsidR="00DB5B1A" w:rsidRPr="00A908BB">
        <w:rPr>
          <w:rFonts w:asciiTheme="minorHAnsi" w:hAnsiTheme="minorHAnsi" w:cstheme="minorHAnsi"/>
          <w:b/>
        </w:rPr>
        <w:t>specifically Latinos.</w:t>
      </w:r>
      <w:r w:rsidR="0005210B" w:rsidRPr="00A908BB">
        <w:rPr>
          <w:rFonts w:asciiTheme="minorHAnsi" w:hAnsiTheme="minorHAnsi" w:cstheme="minorHAnsi"/>
          <w:b/>
        </w:rPr>
        <w:t xml:space="preserve"> </w:t>
      </w:r>
      <w:r w:rsidR="00DB5B1A" w:rsidRPr="00A908BB">
        <w:rPr>
          <w:rFonts w:asciiTheme="minorHAnsi" w:hAnsiTheme="minorHAnsi" w:cstheme="minorHAnsi"/>
          <w:b/>
        </w:rPr>
        <w:t xml:space="preserve"> </w:t>
      </w:r>
      <w:r w:rsidR="0005210B" w:rsidRPr="00A908BB">
        <w:rPr>
          <w:rFonts w:asciiTheme="minorHAnsi" w:hAnsiTheme="minorHAnsi" w:cstheme="minorHAnsi"/>
          <w:b/>
        </w:rPr>
        <w:t xml:space="preserve">Furthermore, SC-BHD co-locates mental health clinicians and psychiatrist at the CHC. </w:t>
      </w:r>
    </w:p>
    <w:p w:rsidR="0005210B" w:rsidRPr="00A908BB" w:rsidRDefault="0005210B" w:rsidP="00DB5B1A">
      <w:pPr>
        <w:spacing w:after="0" w:line="240" w:lineRule="auto"/>
        <w:rPr>
          <w:rFonts w:asciiTheme="minorHAnsi" w:hAnsiTheme="minorHAnsi" w:cstheme="minorHAnsi"/>
          <w:b/>
        </w:rPr>
      </w:pPr>
    </w:p>
    <w:p w:rsidR="00C43A43" w:rsidRPr="00A908BB" w:rsidRDefault="00D90961" w:rsidP="00DB5B1A">
      <w:pPr>
        <w:spacing w:after="0" w:line="240" w:lineRule="auto"/>
        <w:rPr>
          <w:rFonts w:asciiTheme="minorHAnsi" w:hAnsiTheme="minorHAnsi" w:cstheme="minorHAnsi"/>
          <w:b/>
        </w:rPr>
      </w:pPr>
      <w:r w:rsidRPr="00A908BB">
        <w:rPr>
          <w:rFonts w:asciiTheme="minorHAnsi" w:hAnsiTheme="minorHAnsi" w:cstheme="minorHAnsi"/>
          <w:b/>
        </w:rPr>
        <w:t>SC-BHD also funds numerous outreach activities geared to reach ethnic and cultural minority populations.  These outr</w:t>
      </w:r>
      <w:r w:rsidR="00243C30" w:rsidRPr="00A908BB">
        <w:rPr>
          <w:rFonts w:asciiTheme="minorHAnsi" w:hAnsiTheme="minorHAnsi" w:cstheme="minorHAnsi"/>
          <w:b/>
        </w:rPr>
        <w:t xml:space="preserve">each activities are lead by SC-BHD </w:t>
      </w:r>
      <w:r w:rsidRPr="00A908BB">
        <w:rPr>
          <w:rFonts w:asciiTheme="minorHAnsi" w:hAnsiTheme="minorHAnsi" w:cstheme="minorHAnsi"/>
          <w:b/>
        </w:rPr>
        <w:t xml:space="preserve">Community Intervention Program </w:t>
      </w:r>
      <w:r w:rsidR="00243C30" w:rsidRPr="00A908BB">
        <w:rPr>
          <w:rFonts w:asciiTheme="minorHAnsi" w:hAnsiTheme="minorHAnsi" w:cstheme="minorHAnsi"/>
          <w:b/>
        </w:rPr>
        <w:t>contractors who provide</w:t>
      </w:r>
      <w:r w:rsidRPr="00A908BB">
        <w:rPr>
          <w:rFonts w:asciiTheme="minorHAnsi" w:hAnsiTheme="minorHAnsi" w:cstheme="minorHAnsi"/>
          <w:b/>
        </w:rPr>
        <w:t xml:space="preserve"> specific activities and services that target minority ethnic and cultural populations. These activities include: </w:t>
      </w:r>
    </w:p>
    <w:p w:rsidR="00243C30" w:rsidRPr="00A908BB" w:rsidRDefault="00243C30" w:rsidP="00DB5B1A">
      <w:pPr>
        <w:spacing w:after="0" w:line="240" w:lineRule="auto"/>
        <w:rPr>
          <w:rFonts w:asciiTheme="minorHAnsi" w:hAnsiTheme="minorHAnsi" w:cstheme="minorHAnsi"/>
          <w:b/>
        </w:rPr>
      </w:pPr>
    </w:p>
    <w:p w:rsidR="00D90961" w:rsidRPr="00A908BB" w:rsidRDefault="00D90961"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Participation and distribution of education materials at cultural fairs and events (for example, Martin Luther King Day at Community Baptist Church, Caesar Chavez</w:t>
      </w:r>
      <w:r w:rsidR="00243C30" w:rsidRPr="00A908BB">
        <w:rPr>
          <w:rFonts w:asciiTheme="minorHAnsi" w:hAnsiTheme="minorHAnsi" w:cstheme="minorHAnsi"/>
          <w:b/>
        </w:rPr>
        <w:t xml:space="preserve"> Fair</w:t>
      </w:r>
      <w:r w:rsidRPr="00A908BB">
        <w:rPr>
          <w:rFonts w:asciiTheme="minorHAnsi" w:hAnsiTheme="minorHAnsi" w:cstheme="minorHAnsi"/>
          <w:b/>
        </w:rPr>
        <w:t>, Cinco de Mayo</w:t>
      </w:r>
      <w:r w:rsidR="00243C30" w:rsidRPr="00A908BB">
        <w:rPr>
          <w:rFonts w:asciiTheme="minorHAnsi" w:hAnsiTheme="minorHAnsi" w:cstheme="minorHAnsi"/>
          <w:b/>
        </w:rPr>
        <w:t xml:space="preserve"> Celebration</w:t>
      </w:r>
      <w:r w:rsidRPr="00A908BB">
        <w:rPr>
          <w:rFonts w:asciiTheme="minorHAnsi" w:hAnsiTheme="minorHAnsi" w:cstheme="minorHAnsi"/>
          <w:b/>
        </w:rPr>
        <w:t>, Latino Health Forum, G</w:t>
      </w:r>
      <w:r w:rsidR="00243C30" w:rsidRPr="00A908BB">
        <w:rPr>
          <w:rFonts w:asciiTheme="minorHAnsi" w:hAnsiTheme="minorHAnsi" w:cstheme="minorHAnsi"/>
          <w:b/>
        </w:rPr>
        <w:t>athering of Native Americans (G</w:t>
      </w:r>
      <w:r w:rsidRPr="00A908BB">
        <w:rPr>
          <w:rFonts w:asciiTheme="minorHAnsi" w:hAnsiTheme="minorHAnsi" w:cstheme="minorHAnsi"/>
          <w:b/>
        </w:rPr>
        <w:t>ONAs</w:t>
      </w:r>
      <w:r w:rsidR="00243C30" w:rsidRPr="00A908BB">
        <w:rPr>
          <w:rFonts w:asciiTheme="minorHAnsi" w:hAnsiTheme="minorHAnsi" w:cstheme="minorHAnsi"/>
          <w:b/>
        </w:rPr>
        <w:t>)</w:t>
      </w:r>
      <w:r w:rsidRPr="00A908BB">
        <w:rPr>
          <w:rFonts w:asciiTheme="minorHAnsi" w:hAnsiTheme="minorHAnsi" w:cstheme="minorHAnsi"/>
          <w:b/>
        </w:rPr>
        <w:t>)</w:t>
      </w:r>
    </w:p>
    <w:p w:rsidR="00D90961" w:rsidRPr="00A908BB" w:rsidRDefault="00D90961"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Parenting programs targeting communities of color held at schools and churches</w:t>
      </w:r>
    </w:p>
    <w:p w:rsidR="00D90961" w:rsidRPr="00A908BB" w:rsidRDefault="00D90961"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Support groups for Laotian and Cambodian men and women struggling with depression</w:t>
      </w:r>
    </w:p>
    <w:p w:rsidR="00D90961" w:rsidRPr="00A908BB" w:rsidRDefault="00243C30"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Home visits to Latino families who request assistance for a loved one</w:t>
      </w:r>
    </w:p>
    <w:p w:rsidR="00243C30" w:rsidRPr="00A908BB" w:rsidRDefault="00243C30" w:rsidP="00243C30">
      <w:pPr>
        <w:spacing w:after="0" w:line="240" w:lineRule="auto"/>
        <w:rPr>
          <w:rFonts w:asciiTheme="minorHAnsi" w:hAnsiTheme="minorHAnsi" w:cstheme="minorHAnsi"/>
          <w:b/>
        </w:rPr>
      </w:pPr>
    </w:p>
    <w:p w:rsidR="00243C30" w:rsidRPr="00A908BB" w:rsidRDefault="00243C30" w:rsidP="00243C30">
      <w:pPr>
        <w:spacing w:after="0" w:line="240" w:lineRule="auto"/>
        <w:rPr>
          <w:rFonts w:asciiTheme="minorHAnsi" w:hAnsiTheme="minorHAnsi" w:cstheme="minorHAnsi"/>
          <w:b/>
        </w:rPr>
      </w:pPr>
      <w:r w:rsidRPr="00A908BB">
        <w:rPr>
          <w:rFonts w:asciiTheme="minorHAnsi" w:hAnsiTheme="minorHAnsi" w:cstheme="minorHAnsi"/>
          <w:b/>
        </w:rPr>
        <w:t>SC-BHD also fund</w:t>
      </w:r>
      <w:r w:rsidR="00F524B7" w:rsidRPr="00A908BB">
        <w:rPr>
          <w:rFonts w:asciiTheme="minorHAnsi" w:hAnsiTheme="minorHAnsi" w:cstheme="minorHAnsi"/>
          <w:b/>
        </w:rPr>
        <w:t>s</w:t>
      </w:r>
      <w:r w:rsidRPr="00A908BB">
        <w:rPr>
          <w:rFonts w:asciiTheme="minorHAnsi" w:hAnsiTheme="minorHAnsi" w:cstheme="minorHAnsi"/>
          <w:b/>
        </w:rPr>
        <w:t xml:space="preserve"> outreach and engagement programs through Mental Health Services Act - Prevention and Early Intervention funds to increase access </w:t>
      </w:r>
      <w:r w:rsidR="00F524B7" w:rsidRPr="00A908BB">
        <w:rPr>
          <w:rFonts w:asciiTheme="minorHAnsi" w:hAnsiTheme="minorHAnsi" w:cstheme="minorHAnsi"/>
          <w:b/>
        </w:rPr>
        <w:t xml:space="preserve">by </w:t>
      </w:r>
      <w:r w:rsidRPr="00A908BB">
        <w:rPr>
          <w:rFonts w:asciiTheme="minorHAnsi" w:hAnsiTheme="minorHAnsi" w:cstheme="minorHAnsi"/>
          <w:b/>
        </w:rPr>
        <w:t>decreas</w:t>
      </w:r>
      <w:r w:rsidR="00F524B7" w:rsidRPr="00A908BB">
        <w:rPr>
          <w:rFonts w:asciiTheme="minorHAnsi" w:hAnsiTheme="minorHAnsi" w:cstheme="minorHAnsi"/>
          <w:b/>
        </w:rPr>
        <w:t>ing</w:t>
      </w:r>
      <w:r w:rsidRPr="00A908BB">
        <w:rPr>
          <w:rFonts w:asciiTheme="minorHAnsi" w:hAnsiTheme="minorHAnsi" w:cstheme="minorHAnsi"/>
          <w:b/>
        </w:rPr>
        <w:t xml:space="preserve"> stigma</w:t>
      </w:r>
      <w:r w:rsidR="00F524B7" w:rsidRPr="00A908BB">
        <w:rPr>
          <w:rFonts w:asciiTheme="minorHAnsi" w:hAnsiTheme="minorHAnsi" w:cstheme="minorHAnsi"/>
          <w:b/>
        </w:rPr>
        <w:t xml:space="preserve"> associated with mental illness. These activities and contractors include: </w:t>
      </w:r>
      <w:r w:rsidRPr="00A908BB">
        <w:rPr>
          <w:rFonts w:asciiTheme="minorHAnsi" w:hAnsiTheme="minorHAnsi" w:cstheme="minorHAnsi"/>
          <w:b/>
        </w:rPr>
        <w:t xml:space="preserve"> </w:t>
      </w:r>
    </w:p>
    <w:p w:rsidR="00243C30" w:rsidRPr="00A908BB" w:rsidRDefault="00243C30"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Support groups and activities for LGBTQQI youth through Positive Images</w:t>
      </w:r>
    </w:p>
    <w:p w:rsidR="00243C30" w:rsidRPr="00A908BB" w:rsidRDefault="00243C30"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Aunties and Uncles Program mentoring program offered by Sonoma County Indian Health Project</w:t>
      </w:r>
    </w:p>
    <w:p w:rsidR="00F524B7" w:rsidRPr="00A908BB" w:rsidRDefault="00243C30"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Latino Services Providers networking activities</w:t>
      </w:r>
      <w:r w:rsidR="00F524B7" w:rsidRPr="00A908BB">
        <w:rPr>
          <w:rFonts w:asciiTheme="minorHAnsi" w:hAnsiTheme="minorHAnsi" w:cstheme="minorHAnsi"/>
          <w:b/>
        </w:rPr>
        <w:t xml:space="preserve"> for services providers who provide services to Latinos</w:t>
      </w:r>
    </w:p>
    <w:p w:rsidR="006B1643" w:rsidRPr="00A908BB" w:rsidRDefault="00F524B7" w:rsidP="00D90961">
      <w:pPr>
        <w:pStyle w:val="ListParagraph"/>
        <w:numPr>
          <w:ilvl w:val="0"/>
          <w:numId w:val="32"/>
        </w:numPr>
        <w:spacing w:after="0" w:line="240" w:lineRule="auto"/>
        <w:rPr>
          <w:rFonts w:asciiTheme="minorHAnsi" w:hAnsiTheme="minorHAnsi" w:cstheme="minorHAnsi"/>
          <w:b/>
        </w:rPr>
      </w:pPr>
      <w:r w:rsidRPr="00A908BB">
        <w:rPr>
          <w:rFonts w:asciiTheme="minorHAnsi" w:hAnsiTheme="minorHAnsi" w:cstheme="minorHAnsi"/>
          <w:b/>
        </w:rPr>
        <w:t>Community Baptist Church</w:t>
      </w:r>
      <w:r w:rsidR="006B1643" w:rsidRPr="00A908BB">
        <w:rPr>
          <w:rFonts w:asciiTheme="minorHAnsi" w:hAnsiTheme="minorHAnsi" w:cstheme="minorHAnsi"/>
          <w:b/>
        </w:rPr>
        <w:t xml:space="preserve"> – Community Baptist Collaborative </w:t>
      </w:r>
      <w:r w:rsidRPr="00A908BB">
        <w:rPr>
          <w:rFonts w:asciiTheme="minorHAnsi" w:hAnsiTheme="minorHAnsi" w:cstheme="minorHAnsi"/>
          <w:b/>
        </w:rPr>
        <w:t>provides</w:t>
      </w:r>
      <w:r w:rsidR="006B1643" w:rsidRPr="00A908BB">
        <w:rPr>
          <w:rFonts w:asciiTheme="minorHAnsi" w:hAnsiTheme="minorHAnsi" w:cstheme="minorHAnsi"/>
          <w:b/>
        </w:rPr>
        <w:t xml:space="preserve"> various mental health outreach activities </w:t>
      </w:r>
      <w:r w:rsidRPr="00A908BB">
        <w:rPr>
          <w:rFonts w:asciiTheme="minorHAnsi" w:hAnsiTheme="minorHAnsi" w:cstheme="minorHAnsi"/>
          <w:b/>
        </w:rPr>
        <w:t>that increase protective factors for young children</w:t>
      </w:r>
      <w:r w:rsidR="006B1643" w:rsidRPr="00A908BB">
        <w:rPr>
          <w:rFonts w:asciiTheme="minorHAnsi" w:hAnsiTheme="minorHAnsi" w:cstheme="minorHAnsi"/>
          <w:b/>
        </w:rPr>
        <w:t>, mentoring programs for teens, and stress reduction programs for adults</w:t>
      </w:r>
    </w:p>
    <w:p w:rsidR="006B1643" w:rsidRPr="00A908BB" w:rsidRDefault="006B1643" w:rsidP="006B1643">
      <w:pPr>
        <w:spacing w:after="0" w:line="240" w:lineRule="auto"/>
        <w:rPr>
          <w:rFonts w:asciiTheme="minorHAnsi" w:hAnsiTheme="minorHAnsi" w:cstheme="minorHAnsi"/>
          <w:b/>
        </w:rPr>
      </w:pPr>
    </w:p>
    <w:p w:rsidR="00243C30" w:rsidRPr="00A908BB" w:rsidRDefault="006B1643" w:rsidP="006B1643">
      <w:pPr>
        <w:spacing w:after="0" w:line="240" w:lineRule="auto"/>
        <w:rPr>
          <w:rFonts w:asciiTheme="minorHAnsi" w:hAnsiTheme="minorHAnsi" w:cstheme="minorHAnsi"/>
          <w:b/>
        </w:rPr>
      </w:pPr>
      <w:r w:rsidRPr="00A908BB">
        <w:rPr>
          <w:rFonts w:asciiTheme="minorHAnsi" w:hAnsiTheme="minorHAnsi" w:cstheme="minorHAnsi"/>
          <w:b/>
        </w:rPr>
        <w:t>As a member of CalMHSA Sonoma County has access to numerous outreach and engagement campaigns that target communities of color through their three prevention and early intervention initiatives: Suicide Prevention, Stigma</w:t>
      </w:r>
      <w:r w:rsidR="004E0CBB" w:rsidRPr="00A908BB">
        <w:rPr>
          <w:rFonts w:asciiTheme="minorHAnsi" w:hAnsiTheme="minorHAnsi" w:cstheme="minorHAnsi"/>
          <w:b/>
        </w:rPr>
        <w:t xml:space="preserve"> and Discrimination</w:t>
      </w:r>
      <w:r w:rsidRPr="00A908BB">
        <w:rPr>
          <w:rFonts w:asciiTheme="minorHAnsi" w:hAnsiTheme="minorHAnsi" w:cstheme="minorHAnsi"/>
          <w:b/>
        </w:rPr>
        <w:t xml:space="preserve"> Reduction, and Student Mental Health. These campaigns include:  </w:t>
      </w:r>
    </w:p>
    <w:p w:rsidR="006B1643" w:rsidRPr="00A908BB" w:rsidRDefault="006B1643" w:rsidP="006B1643">
      <w:pPr>
        <w:pStyle w:val="ListParagraph"/>
        <w:numPr>
          <w:ilvl w:val="0"/>
          <w:numId w:val="33"/>
        </w:numPr>
        <w:spacing w:after="0" w:line="240" w:lineRule="auto"/>
        <w:rPr>
          <w:rFonts w:asciiTheme="minorHAnsi" w:hAnsiTheme="minorHAnsi" w:cstheme="minorHAnsi"/>
          <w:b/>
        </w:rPr>
      </w:pPr>
      <w:r w:rsidRPr="00A908BB">
        <w:rPr>
          <w:rFonts w:asciiTheme="minorHAnsi" w:hAnsiTheme="minorHAnsi" w:cstheme="minorHAnsi"/>
          <w:b/>
        </w:rPr>
        <w:t>Each Mind Matter/SanaMente</w:t>
      </w:r>
    </w:p>
    <w:p w:rsidR="006B1643" w:rsidRPr="00A908BB" w:rsidRDefault="006B1643" w:rsidP="006B1643">
      <w:pPr>
        <w:pStyle w:val="ListParagraph"/>
        <w:numPr>
          <w:ilvl w:val="0"/>
          <w:numId w:val="33"/>
        </w:numPr>
        <w:spacing w:after="0" w:line="240" w:lineRule="auto"/>
        <w:rPr>
          <w:rFonts w:asciiTheme="minorHAnsi" w:hAnsiTheme="minorHAnsi" w:cstheme="minorHAnsi"/>
          <w:b/>
        </w:rPr>
      </w:pPr>
      <w:r w:rsidRPr="00A908BB">
        <w:rPr>
          <w:rFonts w:asciiTheme="minorHAnsi" w:hAnsiTheme="minorHAnsi" w:cstheme="minorHAnsi"/>
          <w:b/>
        </w:rPr>
        <w:t>Know the Signs campaigns targeting Latinos, Asian/Pacific Islanders, African Americans</w:t>
      </w:r>
    </w:p>
    <w:p w:rsidR="006B1643" w:rsidRPr="00A908BB" w:rsidRDefault="004E0CBB" w:rsidP="006B1643">
      <w:pPr>
        <w:pStyle w:val="ListParagraph"/>
        <w:numPr>
          <w:ilvl w:val="0"/>
          <w:numId w:val="33"/>
        </w:numPr>
        <w:spacing w:after="0" w:line="240" w:lineRule="auto"/>
        <w:rPr>
          <w:rFonts w:asciiTheme="minorHAnsi" w:hAnsiTheme="minorHAnsi" w:cstheme="minorHAnsi"/>
          <w:b/>
        </w:rPr>
      </w:pPr>
      <w:r w:rsidRPr="00A908BB">
        <w:rPr>
          <w:rFonts w:asciiTheme="minorHAnsi" w:hAnsiTheme="minorHAnsi" w:cstheme="minorHAnsi"/>
          <w:b/>
        </w:rPr>
        <w:t xml:space="preserve">ReachOutHere and BuscaApoyo </w:t>
      </w:r>
    </w:p>
    <w:p w:rsidR="006B1643" w:rsidRDefault="006B1643" w:rsidP="00C43A43"/>
    <w:p w:rsidR="00C43A43" w:rsidRDefault="00C43A43" w:rsidP="00C43A43">
      <w:pPr>
        <w:rPr>
          <w:b/>
        </w:rPr>
      </w:pPr>
      <w:r w:rsidRPr="00C43A43">
        <w:rPr>
          <w:b/>
        </w:rPr>
        <w:t>11.  Do you have suggestions for improving outreach to and/or programs for underserved groups?</w:t>
      </w:r>
    </w:p>
    <w:p w:rsidR="00DD0808" w:rsidRPr="00A908BB" w:rsidRDefault="00AB73FA" w:rsidP="00AB73FA">
      <w:pPr>
        <w:spacing w:after="0" w:line="240" w:lineRule="auto"/>
        <w:rPr>
          <w:rFonts w:asciiTheme="minorHAnsi" w:hAnsiTheme="minorHAnsi"/>
          <w:b/>
        </w:rPr>
      </w:pPr>
      <w:r w:rsidRPr="00A908BB">
        <w:rPr>
          <w:rFonts w:asciiTheme="minorHAnsi" w:hAnsiTheme="minorHAnsi"/>
          <w:b/>
        </w:rPr>
        <w:t xml:space="preserve">SC-BHD would like to strengthen its outreach and engagement efforts on Asian and Pacific Islanders who live in Sonoma County. Currently, </w:t>
      </w:r>
      <w:r w:rsidR="00BC061D" w:rsidRPr="00A908BB">
        <w:rPr>
          <w:rFonts w:asciiTheme="minorHAnsi" w:hAnsiTheme="minorHAnsi"/>
          <w:b/>
        </w:rPr>
        <w:t xml:space="preserve">SC-BHD is exploring whether there are individuals or organizations who work closely with these communities in order to engage them in SC-BHD’s efforts. </w:t>
      </w:r>
    </w:p>
    <w:p w:rsidR="00C43A43" w:rsidRPr="00C43A43" w:rsidRDefault="00C43A43" w:rsidP="00C43A43">
      <w:r w:rsidRPr="00A908BB">
        <w:br w:type="page"/>
      </w:r>
    </w:p>
    <w:p w:rsidR="00C43A43" w:rsidRPr="005E1B03" w:rsidRDefault="00C43A43" w:rsidP="005E1B03">
      <w:pPr>
        <w:pStyle w:val="Heading5"/>
      </w:pPr>
      <w:r w:rsidRPr="005E1B03">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AB1626" w:rsidRPr="00C43A43" w:rsidRDefault="00AB1626" w:rsidP="00C43A43"/>
    <w:p w:rsidR="00C26531" w:rsidRPr="00C43A43" w:rsidRDefault="00AB1626" w:rsidP="00C43A43">
      <w:r>
        <w:rPr>
          <w:noProof/>
        </w:rPr>
        <w:drawing>
          <wp:inline distT="0" distB="0" distL="0" distR="0">
            <wp:extent cx="60579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59010" cy="3134299"/>
                    </a:xfrm>
                    <a:prstGeom prst="rect">
                      <a:avLst/>
                    </a:prstGeom>
                  </pic:spPr>
                </pic:pic>
              </a:graphicData>
            </a:graphic>
          </wp:inline>
        </w:drawing>
      </w:r>
    </w:p>
    <w:p w:rsidR="00CD4B6A" w:rsidRDefault="00CD4B6A">
      <w:r>
        <w:br w:type="page"/>
      </w:r>
    </w:p>
    <w:p w:rsidR="00C43A43" w:rsidRDefault="00C43A43" w:rsidP="00C43A43">
      <w:pPr>
        <w:rPr>
          <w:b/>
        </w:rPr>
      </w:pPr>
      <w:r w:rsidRPr="00C43A43">
        <w:rPr>
          <w:b/>
        </w:rPr>
        <w:t>12.  Do you think your county is doing a good job at keeping clients engaged in services?  If yes, how?  If not, why?</w:t>
      </w:r>
    </w:p>
    <w:p w:rsidR="00DD0808" w:rsidRPr="00A908BB" w:rsidRDefault="00DD0808" w:rsidP="00B27406">
      <w:pPr>
        <w:spacing w:after="0" w:line="240" w:lineRule="auto"/>
        <w:rPr>
          <w:rFonts w:asciiTheme="minorHAnsi" w:hAnsiTheme="minorHAnsi"/>
          <w:b/>
        </w:rPr>
      </w:pPr>
      <w:r w:rsidRPr="00A908BB">
        <w:rPr>
          <w:rFonts w:asciiTheme="minorHAnsi" w:hAnsiTheme="minorHAnsi"/>
          <w:b/>
        </w:rPr>
        <w:t>As outlined in the data above, SC-BHD is successful at keeping people engaged in services</w:t>
      </w:r>
      <w:r w:rsidR="0088002A" w:rsidRPr="00A908BB">
        <w:rPr>
          <w:rFonts w:asciiTheme="minorHAnsi" w:hAnsiTheme="minorHAnsi"/>
          <w:b/>
        </w:rPr>
        <w:t xml:space="preserve">. SC-BHD </w:t>
      </w:r>
      <w:r w:rsidR="002652CE" w:rsidRPr="00A908BB">
        <w:rPr>
          <w:rFonts w:asciiTheme="minorHAnsi" w:hAnsiTheme="minorHAnsi"/>
          <w:b/>
        </w:rPr>
        <w:t>staff works</w:t>
      </w:r>
      <w:r w:rsidR="0088002A" w:rsidRPr="00A908BB">
        <w:rPr>
          <w:rFonts w:asciiTheme="minorHAnsi" w:hAnsiTheme="minorHAnsi"/>
          <w:b/>
        </w:rPr>
        <w:t xml:space="preserve"> very hard to </w:t>
      </w:r>
      <w:r w:rsidR="002652CE" w:rsidRPr="00A908BB">
        <w:rPr>
          <w:rFonts w:asciiTheme="minorHAnsi" w:hAnsiTheme="minorHAnsi"/>
          <w:b/>
        </w:rPr>
        <w:t xml:space="preserve">help each </w:t>
      </w:r>
      <w:r w:rsidR="0088002A" w:rsidRPr="00A908BB">
        <w:rPr>
          <w:rFonts w:asciiTheme="minorHAnsi" w:hAnsiTheme="minorHAnsi"/>
          <w:b/>
        </w:rPr>
        <w:t>client</w:t>
      </w:r>
      <w:r w:rsidR="002652CE" w:rsidRPr="00A908BB">
        <w:rPr>
          <w:rFonts w:asciiTheme="minorHAnsi" w:hAnsiTheme="minorHAnsi"/>
          <w:b/>
        </w:rPr>
        <w:t xml:space="preserve"> develop and implement his or her client plan that will best </w:t>
      </w:r>
      <w:r w:rsidR="0088002A" w:rsidRPr="00A908BB">
        <w:rPr>
          <w:rFonts w:asciiTheme="minorHAnsi" w:hAnsiTheme="minorHAnsi"/>
          <w:b/>
        </w:rPr>
        <w:t>meet</w:t>
      </w:r>
      <w:r w:rsidR="002652CE" w:rsidRPr="00A908BB">
        <w:rPr>
          <w:rFonts w:asciiTheme="minorHAnsi" w:hAnsiTheme="minorHAnsi"/>
          <w:b/>
        </w:rPr>
        <w:t xml:space="preserve"> the client’s needs. </w:t>
      </w:r>
      <w:r w:rsidR="0088002A" w:rsidRPr="00A908BB">
        <w:rPr>
          <w:rFonts w:asciiTheme="minorHAnsi" w:hAnsiTheme="minorHAnsi"/>
          <w:b/>
        </w:rPr>
        <w:t xml:space="preserve"> </w:t>
      </w:r>
    </w:p>
    <w:p w:rsidR="00B27406" w:rsidRPr="002652CE" w:rsidRDefault="00B27406" w:rsidP="00B27406">
      <w:pPr>
        <w:spacing w:after="0" w:line="240" w:lineRule="auto"/>
        <w:rPr>
          <w:rFonts w:asciiTheme="minorHAnsi" w:hAnsiTheme="minorHAnsi"/>
          <w:b/>
          <w:color w:val="C00000"/>
        </w:rPr>
      </w:pPr>
    </w:p>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A908BB" w:rsidRDefault="00AB73FA" w:rsidP="00AB73FA">
      <w:pPr>
        <w:spacing w:after="0" w:line="240" w:lineRule="auto"/>
        <w:rPr>
          <w:rFonts w:asciiTheme="minorHAnsi" w:hAnsiTheme="minorHAnsi"/>
          <w:b/>
        </w:rPr>
      </w:pPr>
      <w:r w:rsidRPr="00A908BB">
        <w:rPr>
          <w:rFonts w:asciiTheme="minorHAnsi" w:hAnsiTheme="minorHAnsi"/>
          <w:b/>
        </w:rPr>
        <w:t xml:space="preserve">SC-BHD Access Team provides a thorough assessment of MediCal beneficiaries who request services. The Access team ensures all clients who do not meet medical necessity receive a referral </w:t>
      </w:r>
      <w:r w:rsidR="00062603" w:rsidRPr="00A908BB">
        <w:rPr>
          <w:rFonts w:asciiTheme="minorHAnsi" w:hAnsiTheme="minorHAnsi"/>
          <w:b/>
        </w:rPr>
        <w:t xml:space="preserve">and in some cases, assistance in setting up an appointment with </w:t>
      </w:r>
      <w:r w:rsidRPr="00A908BB">
        <w:rPr>
          <w:rFonts w:asciiTheme="minorHAnsi" w:hAnsiTheme="minorHAnsi"/>
          <w:b/>
        </w:rPr>
        <w:t xml:space="preserve">the appropriate mental health care. </w:t>
      </w:r>
      <w:r w:rsidR="00062603" w:rsidRPr="00A908BB">
        <w:rPr>
          <w:rFonts w:asciiTheme="minorHAnsi" w:hAnsiTheme="minorHAnsi"/>
          <w:b/>
        </w:rPr>
        <w:t xml:space="preserve"> </w:t>
      </w:r>
      <w:r w:rsidRPr="00A908BB">
        <w:rPr>
          <w:rFonts w:asciiTheme="minorHAnsi" w:hAnsiTheme="minorHAnsi"/>
          <w:b/>
        </w:rPr>
        <w:t xml:space="preserve">Furthermore, those MediCal beneficiaries who do not qualify for services are instructed to call the Access Team back should their situation change. </w:t>
      </w:r>
    </w:p>
    <w:p w:rsidR="00AB73FA" w:rsidRPr="00A908BB" w:rsidRDefault="00AB73FA" w:rsidP="00AB73FA">
      <w:pPr>
        <w:spacing w:after="0" w:line="240" w:lineRule="auto"/>
        <w:rPr>
          <w:rFonts w:asciiTheme="minorHAnsi" w:hAnsiTheme="minorHAnsi"/>
          <w:b/>
        </w:rPr>
      </w:pPr>
    </w:p>
    <w:p w:rsidR="00062603" w:rsidRPr="00A908BB" w:rsidRDefault="00062603" w:rsidP="00AB73FA">
      <w:pPr>
        <w:spacing w:after="0" w:line="240" w:lineRule="auto"/>
        <w:rPr>
          <w:rFonts w:asciiTheme="minorHAnsi" w:hAnsiTheme="minorHAnsi"/>
          <w:b/>
        </w:rPr>
      </w:pPr>
      <w:r w:rsidRPr="00A908BB">
        <w:rPr>
          <w:rFonts w:asciiTheme="minorHAnsi" w:hAnsiTheme="minorHAnsi"/>
          <w:b/>
        </w:rPr>
        <w:t xml:space="preserve">As mentioned above, SC-BHD has a robust client engagement policy with the goal of keeping people engaged in services. SC-BHD </w:t>
      </w:r>
      <w:r w:rsidR="00BC061D" w:rsidRPr="00A908BB">
        <w:rPr>
          <w:rFonts w:asciiTheme="minorHAnsi" w:hAnsiTheme="minorHAnsi"/>
          <w:b/>
        </w:rPr>
        <w:t xml:space="preserve">Client Engagement Policy force staff to be active in understanding client needs if the client is not following up with care. </w:t>
      </w:r>
    </w:p>
    <w:p w:rsidR="00BD769D" w:rsidRDefault="00BD769D" w:rsidP="00AB73FA">
      <w:pPr>
        <w:spacing w:after="0" w:line="240" w:lineRule="auto"/>
        <w:rPr>
          <w:rFonts w:asciiTheme="minorHAnsi" w:hAnsiTheme="minorHAnsi"/>
          <w:b/>
          <w:color w:val="C00000"/>
        </w:rPr>
      </w:pPr>
    </w:p>
    <w:p w:rsid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5E3B58" w:rsidRPr="00A908BB" w:rsidRDefault="00844338" w:rsidP="00BD769D">
      <w:pPr>
        <w:autoSpaceDE w:val="0"/>
        <w:autoSpaceDN w:val="0"/>
        <w:adjustRightInd w:val="0"/>
        <w:spacing w:after="0" w:line="240" w:lineRule="auto"/>
        <w:rPr>
          <w:rFonts w:asciiTheme="minorHAnsi" w:hAnsiTheme="minorHAnsi"/>
          <w:b/>
        </w:rPr>
      </w:pPr>
      <w:r w:rsidRPr="00A908BB">
        <w:rPr>
          <w:rFonts w:asciiTheme="minorHAnsi" w:hAnsiTheme="minorHAnsi"/>
          <w:b/>
        </w:rPr>
        <w:t>As stated above, SC-BHD has focused efforts</w:t>
      </w:r>
      <w:r w:rsidR="000E6374" w:rsidRPr="00A908BB">
        <w:rPr>
          <w:rFonts w:asciiTheme="minorHAnsi" w:hAnsiTheme="minorHAnsi"/>
          <w:b/>
        </w:rPr>
        <w:t xml:space="preserve"> and strategies</w:t>
      </w:r>
      <w:r w:rsidRPr="00A908BB">
        <w:rPr>
          <w:rFonts w:asciiTheme="minorHAnsi" w:hAnsiTheme="minorHAnsi"/>
          <w:b/>
        </w:rPr>
        <w:t xml:space="preserve"> to engage various racial and ethnic groups. </w:t>
      </w:r>
      <w:r w:rsidR="00834067" w:rsidRPr="00A908BB">
        <w:rPr>
          <w:rFonts w:asciiTheme="minorHAnsi" w:hAnsiTheme="minorHAnsi"/>
          <w:b/>
        </w:rPr>
        <w:t xml:space="preserve"> Many ethnic and cultural groups receive their health services from Sonoma County’s federally qualified health centers and Indian Health Centers.</w:t>
      </w:r>
      <w:r w:rsidR="005E3B58" w:rsidRPr="00A908BB">
        <w:rPr>
          <w:rFonts w:asciiTheme="minorHAnsi" w:hAnsiTheme="minorHAnsi"/>
          <w:b/>
        </w:rPr>
        <w:t xml:space="preserve"> Sonoma County has a large Latino a population and low p</w:t>
      </w:r>
      <w:r w:rsidR="00DF5259" w:rsidRPr="00A908BB">
        <w:rPr>
          <w:rFonts w:asciiTheme="minorHAnsi" w:hAnsiTheme="minorHAnsi"/>
          <w:b/>
        </w:rPr>
        <w:t xml:space="preserve">enetration rates for Latinos. Low Latino penetration rates are an issue statewide. </w:t>
      </w:r>
      <w:r w:rsidR="005E3B58" w:rsidRPr="00A908BB">
        <w:rPr>
          <w:rFonts w:asciiTheme="minorHAnsi" w:hAnsiTheme="minorHAnsi"/>
          <w:b/>
        </w:rPr>
        <w:t xml:space="preserve"> </w:t>
      </w:r>
      <w:r w:rsidR="004D4308" w:rsidRPr="00A908BB">
        <w:rPr>
          <w:rFonts w:asciiTheme="minorHAnsi" w:hAnsiTheme="minorHAnsi"/>
          <w:b/>
        </w:rPr>
        <w:t xml:space="preserve">Two specific strategies include: </w:t>
      </w:r>
    </w:p>
    <w:p w:rsidR="005E3B58" w:rsidRPr="00A908BB" w:rsidRDefault="005E3B58" w:rsidP="00BD769D">
      <w:pPr>
        <w:autoSpaceDE w:val="0"/>
        <w:autoSpaceDN w:val="0"/>
        <w:adjustRightInd w:val="0"/>
        <w:spacing w:after="0" w:line="240" w:lineRule="auto"/>
        <w:rPr>
          <w:rFonts w:asciiTheme="minorHAnsi" w:hAnsiTheme="minorHAnsi"/>
          <w:b/>
        </w:rPr>
      </w:pPr>
    </w:p>
    <w:p w:rsidR="00844338" w:rsidRPr="00A908BB" w:rsidRDefault="00834067" w:rsidP="00BD769D">
      <w:pPr>
        <w:autoSpaceDE w:val="0"/>
        <w:autoSpaceDN w:val="0"/>
        <w:adjustRightInd w:val="0"/>
        <w:spacing w:after="0" w:line="240" w:lineRule="auto"/>
        <w:rPr>
          <w:rFonts w:asciiTheme="minorHAnsi" w:hAnsiTheme="minorHAnsi"/>
          <w:b/>
        </w:rPr>
      </w:pPr>
      <w:r w:rsidRPr="00A908BB">
        <w:rPr>
          <w:rFonts w:asciiTheme="minorHAnsi" w:hAnsiTheme="minorHAnsi"/>
          <w:b/>
        </w:rPr>
        <w:t xml:space="preserve"> </w:t>
      </w:r>
      <w:r w:rsidR="00B27406" w:rsidRPr="00A908BB">
        <w:rPr>
          <w:rFonts w:asciiTheme="minorHAnsi" w:hAnsiTheme="minorHAnsi"/>
          <w:b/>
        </w:rPr>
        <w:t>SC-BHD</w:t>
      </w:r>
      <w:r w:rsidR="00034062" w:rsidRPr="00A908BB">
        <w:rPr>
          <w:rFonts w:asciiTheme="minorHAnsi" w:hAnsiTheme="minorHAnsi"/>
          <w:b/>
        </w:rPr>
        <w:t>’s</w:t>
      </w:r>
      <w:r w:rsidR="00B27406" w:rsidRPr="00A908BB">
        <w:rPr>
          <w:rFonts w:asciiTheme="minorHAnsi" w:hAnsiTheme="minorHAnsi"/>
          <w:b/>
        </w:rPr>
        <w:t xml:space="preserve"> </w:t>
      </w:r>
      <w:r w:rsidR="00034062" w:rsidRPr="00A908BB">
        <w:rPr>
          <w:rFonts w:asciiTheme="minorHAnsi" w:hAnsiTheme="minorHAnsi"/>
          <w:b/>
        </w:rPr>
        <w:t xml:space="preserve">Community Intervention Program </w:t>
      </w:r>
      <w:r w:rsidR="00B27406" w:rsidRPr="00A908BB">
        <w:rPr>
          <w:rFonts w:asciiTheme="minorHAnsi" w:hAnsiTheme="minorHAnsi"/>
          <w:b/>
        </w:rPr>
        <w:t xml:space="preserve">outstations psychiatrist and social workers </w:t>
      </w:r>
      <w:r w:rsidR="00034062" w:rsidRPr="00A908BB">
        <w:rPr>
          <w:rFonts w:asciiTheme="minorHAnsi" w:hAnsiTheme="minorHAnsi"/>
          <w:b/>
        </w:rPr>
        <w:t xml:space="preserve">to provide mental health treatment </w:t>
      </w:r>
      <w:r w:rsidR="00B27406" w:rsidRPr="00A908BB">
        <w:rPr>
          <w:rFonts w:asciiTheme="minorHAnsi" w:hAnsiTheme="minorHAnsi"/>
          <w:b/>
        </w:rPr>
        <w:t>in these community health center</w:t>
      </w:r>
      <w:r w:rsidR="008B0516" w:rsidRPr="00A908BB">
        <w:rPr>
          <w:rFonts w:asciiTheme="minorHAnsi" w:hAnsiTheme="minorHAnsi"/>
          <w:b/>
        </w:rPr>
        <w:t>s</w:t>
      </w:r>
      <w:r w:rsidR="00034062" w:rsidRPr="00A908BB">
        <w:rPr>
          <w:rFonts w:asciiTheme="minorHAnsi" w:hAnsiTheme="minorHAnsi"/>
          <w:b/>
        </w:rPr>
        <w:t xml:space="preserve">. </w:t>
      </w:r>
      <w:r w:rsidR="00BD769D" w:rsidRPr="00A908BB">
        <w:rPr>
          <w:rFonts w:asciiTheme="minorHAnsi" w:hAnsiTheme="minorHAnsi"/>
          <w:b/>
        </w:rPr>
        <w:t xml:space="preserve">NAMI’s 2006 </w:t>
      </w:r>
      <w:r w:rsidR="00BD769D" w:rsidRPr="00A908BB">
        <w:rPr>
          <w:rFonts w:asciiTheme="minorHAnsi" w:hAnsiTheme="minorHAnsi"/>
          <w:b/>
          <w:i/>
        </w:rPr>
        <w:t>Eliminating Disparities: Multicultural Strategic Summit</w:t>
      </w:r>
      <w:r w:rsidR="00BD769D" w:rsidRPr="00A908BB">
        <w:rPr>
          <w:rFonts w:asciiTheme="minorHAnsi" w:hAnsiTheme="minorHAnsi"/>
          <w:b/>
        </w:rPr>
        <w:t xml:space="preserve"> report</w:t>
      </w:r>
      <w:r w:rsidR="00034062" w:rsidRPr="00A908BB">
        <w:rPr>
          <w:rFonts w:asciiTheme="minorHAnsi" w:hAnsiTheme="minorHAnsi"/>
          <w:b/>
        </w:rPr>
        <w:t xml:space="preserve"> recommends</w:t>
      </w:r>
      <w:r w:rsidR="008B0516" w:rsidRPr="00A908BB">
        <w:rPr>
          <w:rFonts w:asciiTheme="minorHAnsi" w:hAnsiTheme="minorHAnsi"/>
          <w:b/>
        </w:rPr>
        <w:t xml:space="preserve"> providing mental health services i</w:t>
      </w:r>
      <w:r w:rsidR="00034062" w:rsidRPr="00A908BB">
        <w:rPr>
          <w:rFonts w:asciiTheme="minorHAnsi" w:hAnsiTheme="minorHAnsi"/>
          <w:b/>
        </w:rPr>
        <w:t xml:space="preserve">n the primary care setting as an effective strategy </w:t>
      </w:r>
      <w:r w:rsidR="008B0516" w:rsidRPr="00A908BB">
        <w:rPr>
          <w:rFonts w:asciiTheme="minorHAnsi" w:hAnsiTheme="minorHAnsi"/>
          <w:b/>
        </w:rPr>
        <w:t xml:space="preserve">for eliminating barriers to care. </w:t>
      </w:r>
      <w:r w:rsidR="00CC4E58" w:rsidRPr="00A908BB">
        <w:rPr>
          <w:rFonts w:asciiTheme="minorHAnsi" w:hAnsiTheme="minorHAnsi"/>
          <w:b/>
        </w:rPr>
        <w:t xml:space="preserve"> </w:t>
      </w:r>
    </w:p>
    <w:p w:rsidR="00CC4E58" w:rsidRPr="00A908BB" w:rsidRDefault="00CC4E58" w:rsidP="00BD769D">
      <w:pPr>
        <w:autoSpaceDE w:val="0"/>
        <w:autoSpaceDN w:val="0"/>
        <w:adjustRightInd w:val="0"/>
        <w:spacing w:after="0" w:line="240" w:lineRule="auto"/>
        <w:rPr>
          <w:rFonts w:asciiTheme="minorHAnsi" w:hAnsiTheme="minorHAnsi"/>
          <w:b/>
        </w:rPr>
      </w:pPr>
    </w:p>
    <w:p w:rsidR="00CC4E58" w:rsidRPr="00A908BB" w:rsidRDefault="00CC4E58" w:rsidP="00BD769D">
      <w:pPr>
        <w:autoSpaceDE w:val="0"/>
        <w:autoSpaceDN w:val="0"/>
        <w:adjustRightInd w:val="0"/>
        <w:spacing w:after="0" w:line="240" w:lineRule="auto"/>
        <w:rPr>
          <w:rFonts w:asciiTheme="minorHAnsi" w:hAnsiTheme="minorHAnsi"/>
          <w:b/>
        </w:rPr>
      </w:pPr>
      <w:r w:rsidRPr="00A908BB">
        <w:rPr>
          <w:rFonts w:asciiTheme="minorHAnsi" w:hAnsiTheme="minorHAnsi"/>
          <w:b/>
        </w:rPr>
        <w:t xml:space="preserve">SC-BHD is also actively involved in recruiting, hiring, training, and </w:t>
      </w:r>
      <w:r w:rsidR="004D4308" w:rsidRPr="00A908BB">
        <w:rPr>
          <w:rFonts w:asciiTheme="minorHAnsi" w:hAnsiTheme="minorHAnsi"/>
          <w:b/>
        </w:rPr>
        <w:t>retaining a workforce who match</w:t>
      </w:r>
      <w:r w:rsidRPr="00A908BB">
        <w:rPr>
          <w:rFonts w:asciiTheme="minorHAnsi" w:hAnsiTheme="minorHAnsi"/>
          <w:b/>
        </w:rPr>
        <w:t xml:space="preserve"> our County demographic.  SC-BHD has a contract with Latino Service Providers, </w:t>
      </w:r>
      <w:r w:rsidR="004D4308" w:rsidRPr="00A908BB">
        <w:rPr>
          <w:rFonts w:asciiTheme="minorHAnsi" w:hAnsiTheme="minorHAnsi"/>
          <w:b/>
        </w:rPr>
        <w:t xml:space="preserve">a local networking organization focused on Latinos in Sonoma County, to assist with recruitment of potential mental health providers. </w:t>
      </w:r>
    </w:p>
    <w:p w:rsidR="00034062" w:rsidRPr="00A908BB" w:rsidRDefault="00034062" w:rsidP="00BD769D">
      <w:pPr>
        <w:autoSpaceDE w:val="0"/>
        <w:autoSpaceDN w:val="0"/>
        <w:adjustRightInd w:val="0"/>
        <w:spacing w:after="0" w:line="240" w:lineRule="auto"/>
        <w:rPr>
          <w:rFonts w:asciiTheme="minorHAnsi" w:hAnsiTheme="minorHAnsi"/>
          <w:b/>
        </w:rPr>
      </w:pPr>
    </w:p>
    <w:p w:rsidR="00034062" w:rsidRPr="00BD769D" w:rsidRDefault="00034062" w:rsidP="00BD769D">
      <w:pPr>
        <w:autoSpaceDE w:val="0"/>
        <w:autoSpaceDN w:val="0"/>
        <w:adjustRightInd w:val="0"/>
        <w:spacing w:after="0" w:line="240" w:lineRule="auto"/>
        <w:rPr>
          <w:rFonts w:asciiTheme="minorHAnsi" w:hAnsiTheme="minorHAnsi"/>
          <w:b/>
          <w:color w:val="C00000"/>
        </w:rPr>
      </w:pPr>
    </w:p>
    <w:p w:rsidR="00C43A43" w:rsidRPr="00C43A43" w:rsidRDefault="00C43A43" w:rsidP="00C43A43">
      <w:r w:rsidRPr="00C43A43">
        <w:br w:type="page"/>
      </w:r>
    </w:p>
    <w:p w:rsidR="00C43A43" w:rsidRDefault="00601364" w:rsidP="00BC061D">
      <w:pPr>
        <w:rPr>
          <w:b/>
          <w:color w:val="C00000"/>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r w:rsidR="0018278A">
        <w:rPr>
          <w:sz w:val="28"/>
          <w:szCs w:val="28"/>
        </w:rPr>
        <w:t xml:space="preserve"> </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440CBC" w:rsidP="00C43A43">
      <w:r>
        <w:t>Below are the data for</w:t>
      </w:r>
      <w:r w:rsidR="00C43A43" w:rsidRPr="00C43A43">
        <w:t xml:space="preserve"> responses by clients in your county to these two questions.  </w:t>
      </w:r>
      <w:r w:rsidRPr="00C43A43">
        <w:t>The total number</w:t>
      </w:r>
      <w:r>
        <w:t>s</w:t>
      </w:r>
      <w:r w:rsidRPr="00C43A43">
        <w:t xml:space="preserve"> of </w:t>
      </w:r>
      <w:r>
        <w:t>surveys completed for Adults or Children/Youth in each category are shown separately in the tables below, under the heading “</w:t>
      </w:r>
      <w:r w:rsidRPr="00AA7646">
        <w:rPr>
          <w:b/>
          <w:u w:val="single"/>
        </w:rPr>
        <w:t>Total</w:t>
      </w:r>
      <w:r>
        <w:t>.”</w:t>
      </w:r>
    </w:p>
    <w:p w:rsidR="00440CBC" w:rsidRDefault="00440CBC" w:rsidP="00C43A43">
      <w:r>
        <w:t>For general comparison, statewide reference data for various sized counties are shown in the tables on page 19.</w:t>
      </w:r>
      <w:r w:rsidRPr="00C43A43">
        <w:t xml:space="preserve"> </w:t>
      </w:r>
    </w:p>
    <w:p w:rsidR="00CC70CC" w:rsidRPr="00331B63" w:rsidRDefault="00CC70CC" w:rsidP="00CC70CC">
      <w:r w:rsidRPr="00C43A43">
        <w:t xml:space="preserve">The total number of </w:t>
      </w:r>
      <w:r>
        <w:t xml:space="preserve">CPS </w:t>
      </w:r>
      <w:r w:rsidRPr="00C43A43">
        <w:t>su</w:t>
      </w:r>
      <w:r>
        <w:t>rveys completed in your county and sent to CiMH wa</w:t>
      </w:r>
      <w:r w:rsidRPr="00C43A43">
        <w:t>s</w:t>
      </w:r>
      <w:r>
        <w:t xml:space="preserve"> </w:t>
      </w:r>
      <w:r w:rsidRPr="00D13AE1">
        <w:rPr>
          <w:u w:val="single"/>
        </w:rPr>
        <w:t>zero</w:t>
      </w:r>
      <w:r w:rsidRPr="00C43A43">
        <w:t>.</w:t>
      </w:r>
      <w:r w:rsidR="00440CBC">
        <w:t xml:space="preserve"> </w:t>
      </w:r>
      <w:r w:rsidRPr="00331B63">
        <w:t xml:space="preserve">Therefore, we are providing </w:t>
      </w:r>
      <w:r w:rsidR="00440CBC">
        <w:t>you with</w:t>
      </w:r>
      <w:r w:rsidRPr="00331B63">
        <w:t xml:space="preserve"> summary data for medium-sized counties</w:t>
      </w:r>
      <w:r w:rsidR="00440CBC">
        <w:t>.</w:t>
      </w:r>
      <w:r w:rsidRPr="00331B63">
        <w:rPr>
          <w:rStyle w:val="FootnoteReference"/>
        </w:rPr>
        <w:footnoteReference w:id="3"/>
      </w:r>
      <w:r w:rsidR="00440CBC">
        <w:t xml:space="preserve"> </w:t>
      </w:r>
    </w:p>
    <w:p w:rsidR="00CC70CC" w:rsidRPr="00C43A43" w:rsidRDefault="00CC70CC"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C70CC" w:rsidTr="00F175C5">
        <w:tc>
          <w:tcPr>
            <w:tcW w:w="1368" w:type="dxa"/>
          </w:tcPr>
          <w:p w:rsidR="00CC70CC" w:rsidRDefault="00CC70CC" w:rsidP="00F175C5"/>
        </w:tc>
        <w:tc>
          <w:tcPr>
            <w:tcW w:w="1368" w:type="dxa"/>
          </w:tcPr>
          <w:p w:rsidR="00CC70CC" w:rsidRDefault="00CC70CC" w:rsidP="00F175C5">
            <w:r>
              <w:t xml:space="preserve">Strongly Disagree      </w:t>
            </w:r>
          </w:p>
        </w:tc>
        <w:tc>
          <w:tcPr>
            <w:tcW w:w="1368" w:type="dxa"/>
          </w:tcPr>
          <w:p w:rsidR="00CC70CC" w:rsidRDefault="00CC70CC" w:rsidP="00F175C5">
            <w:r>
              <w:t>Disagree</w:t>
            </w:r>
          </w:p>
        </w:tc>
        <w:tc>
          <w:tcPr>
            <w:tcW w:w="1368" w:type="dxa"/>
          </w:tcPr>
          <w:p w:rsidR="00CC70CC" w:rsidRDefault="00CC70CC" w:rsidP="00F175C5">
            <w:r>
              <w:t>Neutral</w:t>
            </w:r>
          </w:p>
        </w:tc>
        <w:tc>
          <w:tcPr>
            <w:tcW w:w="1368" w:type="dxa"/>
          </w:tcPr>
          <w:p w:rsidR="00CC70CC" w:rsidRDefault="00CC70CC" w:rsidP="00F175C5">
            <w:r>
              <w:t>Agree</w:t>
            </w:r>
          </w:p>
        </w:tc>
        <w:tc>
          <w:tcPr>
            <w:tcW w:w="1368" w:type="dxa"/>
          </w:tcPr>
          <w:p w:rsidR="00CC70CC" w:rsidRDefault="00CC70CC" w:rsidP="00F175C5">
            <w:r>
              <w:t>Strongly A</w:t>
            </w:r>
            <w:r w:rsidRPr="00C43A43">
              <w:t>gre</w:t>
            </w:r>
            <w:r>
              <w:t>e</w:t>
            </w:r>
          </w:p>
        </w:tc>
        <w:tc>
          <w:tcPr>
            <w:tcW w:w="1368" w:type="dxa"/>
          </w:tcPr>
          <w:p w:rsidR="00CC70CC" w:rsidRPr="00AA7646" w:rsidRDefault="00CC70CC" w:rsidP="00F175C5">
            <w:pPr>
              <w:pStyle w:val="Heading1"/>
              <w:outlineLvl w:val="0"/>
            </w:pPr>
            <w:r w:rsidRPr="00AA7646">
              <w:t>Total</w:t>
            </w:r>
          </w:p>
        </w:tc>
      </w:tr>
      <w:tr w:rsidR="00CC70CC" w:rsidTr="00F175C5">
        <w:tc>
          <w:tcPr>
            <w:tcW w:w="1368" w:type="dxa"/>
          </w:tcPr>
          <w:p w:rsidR="00CC70CC" w:rsidRDefault="00CC70CC" w:rsidP="00F175C5">
            <w:r>
              <w:t>Number of Responses</w:t>
            </w:r>
          </w:p>
        </w:tc>
        <w:tc>
          <w:tcPr>
            <w:tcW w:w="1368" w:type="dxa"/>
          </w:tcPr>
          <w:p w:rsidR="00CC70CC" w:rsidRDefault="00CC70CC" w:rsidP="00F175C5">
            <w:r>
              <w:t>39</w:t>
            </w:r>
          </w:p>
        </w:tc>
        <w:tc>
          <w:tcPr>
            <w:tcW w:w="1368" w:type="dxa"/>
          </w:tcPr>
          <w:p w:rsidR="00CC70CC" w:rsidRDefault="00CC70CC" w:rsidP="00F175C5">
            <w:r>
              <w:t>113</w:t>
            </w:r>
          </w:p>
        </w:tc>
        <w:tc>
          <w:tcPr>
            <w:tcW w:w="1368" w:type="dxa"/>
          </w:tcPr>
          <w:p w:rsidR="00CC70CC" w:rsidRDefault="00CC70CC" w:rsidP="00F175C5">
            <w:r>
              <w:t>475</w:t>
            </w:r>
          </w:p>
        </w:tc>
        <w:tc>
          <w:tcPr>
            <w:tcW w:w="1368" w:type="dxa"/>
          </w:tcPr>
          <w:p w:rsidR="00CC70CC" w:rsidRDefault="00CC70CC" w:rsidP="00F175C5">
            <w:r>
              <w:t>1114</w:t>
            </w:r>
          </w:p>
        </w:tc>
        <w:tc>
          <w:tcPr>
            <w:tcW w:w="1368" w:type="dxa"/>
          </w:tcPr>
          <w:p w:rsidR="00CC70CC" w:rsidRDefault="00CC70CC" w:rsidP="00F175C5">
            <w:r>
              <w:t>1044</w:t>
            </w:r>
          </w:p>
        </w:tc>
        <w:tc>
          <w:tcPr>
            <w:tcW w:w="1368" w:type="dxa"/>
          </w:tcPr>
          <w:p w:rsidR="00CC70CC" w:rsidRDefault="00CC70CC" w:rsidP="00F175C5">
            <w:r>
              <w:t>2785</w:t>
            </w:r>
          </w:p>
        </w:tc>
      </w:tr>
      <w:tr w:rsidR="00CC70CC" w:rsidTr="00F175C5">
        <w:tc>
          <w:tcPr>
            <w:tcW w:w="1368" w:type="dxa"/>
          </w:tcPr>
          <w:p w:rsidR="00CC70CC" w:rsidRDefault="00CC70CC" w:rsidP="00F175C5">
            <w:r>
              <w:t>Percent of Responses</w:t>
            </w:r>
          </w:p>
        </w:tc>
        <w:tc>
          <w:tcPr>
            <w:tcW w:w="1368" w:type="dxa"/>
          </w:tcPr>
          <w:p w:rsidR="00CC70CC" w:rsidRDefault="00CC70CC" w:rsidP="00F175C5">
            <w:r>
              <w:t>1.4 %</w:t>
            </w:r>
          </w:p>
        </w:tc>
        <w:tc>
          <w:tcPr>
            <w:tcW w:w="1368" w:type="dxa"/>
          </w:tcPr>
          <w:p w:rsidR="00CC70CC" w:rsidRDefault="00CC70CC" w:rsidP="00F175C5">
            <w:r>
              <w:t>4.1 %</w:t>
            </w:r>
          </w:p>
        </w:tc>
        <w:tc>
          <w:tcPr>
            <w:tcW w:w="1368" w:type="dxa"/>
          </w:tcPr>
          <w:p w:rsidR="00CC70CC" w:rsidRDefault="00CC70CC" w:rsidP="00F175C5">
            <w:r>
              <w:t>17.1 %</w:t>
            </w:r>
          </w:p>
        </w:tc>
        <w:tc>
          <w:tcPr>
            <w:tcW w:w="1368" w:type="dxa"/>
          </w:tcPr>
          <w:p w:rsidR="00CC70CC" w:rsidRDefault="00CC70CC" w:rsidP="00F175C5">
            <w:r>
              <w:t>40.0 %</w:t>
            </w:r>
          </w:p>
        </w:tc>
        <w:tc>
          <w:tcPr>
            <w:tcW w:w="1368" w:type="dxa"/>
          </w:tcPr>
          <w:p w:rsidR="00CC70CC" w:rsidRDefault="00CC70CC" w:rsidP="00F175C5">
            <w:r>
              <w:t>37.5 %</w:t>
            </w:r>
          </w:p>
        </w:tc>
        <w:tc>
          <w:tcPr>
            <w:tcW w:w="1368" w:type="dxa"/>
          </w:tcPr>
          <w:p w:rsidR="00CC70CC" w:rsidRDefault="00CC70CC" w:rsidP="00F175C5">
            <w:r>
              <w:t>100.0 %</w:t>
            </w:r>
          </w:p>
        </w:tc>
      </w:tr>
    </w:tbl>
    <w:p w:rsidR="00CC70CC" w:rsidRPr="00C43A43" w:rsidRDefault="00CC70CC" w:rsidP="00C43A43"/>
    <w:p w:rsidR="00C43A43" w:rsidRPr="00C43A43" w:rsidRDefault="00C43A43" w:rsidP="00C43A43">
      <w:pPr>
        <w:pStyle w:val="ListParagraph"/>
      </w:pPr>
      <w:r w:rsidRPr="00C43A43">
        <w:t>Q2. Children/Youth.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C70CC" w:rsidTr="00F175C5">
        <w:tc>
          <w:tcPr>
            <w:tcW w:w="1368" w:type="dxa"/>
          </w:tcPr>
          <w:p w:rsidR="00CC70CC" w:rsidRDefault="00CC70CC" w:rsidP="00F175C5"/>
        </w:tc>
        <w:tc>
          <w:tcPr>
            <w:tcW w:w="1368" w:type="dxa"/>
          </w:tcPr>
          <w:p w:rsidR="00CC70CC" w:rsidRDefault="00CC70CC" w:rsidP="00F175C5">
            <w:r>
              <w:t xml:space="preserve">Strongly Disagree      </w:t>
            </w:r>
          </w:p>
        </w:tc>
        <w:tc>
          <w:tcPr>
            <w:tcW w:w="1368" w:type="dxa"/>
          </w:tcPr>
          <w:p w:rsidR="00CC70CC" w:rsidRDefault="00CC70CC" w:rsidP="00F175C5">
            <w:r>
              <w:t>Disagree</w:t>
            </w:r>
          </w:p>
        </w:tc>
        <w:tc>
          <w:tcPr>
            <w:tcW w:w="1368" w:type="dxa"/>
          </w:tcPr>
          <w:p w:rsidR="00CC70CC" w:rsidRDefault="00CC70CC" w:rsidP="00F175C5">
            <w:r>
              <w:t>Neutral</w:t>
            </w:r>
          </w:p>
        </w:tc>
        <w:tc>
          <w:tcPr>
            <w:tcW w:w="1368" w:type="dxa"/>
          </w:tcPr>
          <w:p w:rsidR="00CC70CC" w:rsidRDefault="00CC70CC" w:rsidP="00F175C5">
            <w:r>
              <w:t>Agree</w:t>
            </w:r>
          </w:p>
        </w:tc>
        <w:tc>
          <w:tcPr>
            <w:tcW w:w="1368" w:type="dxa"/>
          </w:tcPr>
          <w:p w:rsidR="00CC70CC" w:rsidRDefault="00CC70CC" w:rsidP="00F175C5">
            <w:r>
              <w:t>Strongly A</w:t>
            </w:r>
            <w:r w:rsidRPr="00C43A43">
              <w:t>gre</w:t>
            </w:r>
            <w:r>
              <w:t>e</w:t>
            </w:r>
          </w:p>
        </w:tc>
        <w:tc>
          <w:tcPr>
            <w:tcW w:w="1368" w:type="dxa"/>
          </w:tcPr>
          <w:p w:rsidR="00CC70CC" w:rsidRPr="00AA7646" w:rsidRDefault="00CC70CC" w:rsidP="00F175C5">
            <w:pPr>
              <w:pStyle w:val="Heading1"/>
              <w:outlineLvl w:val="0"/>
            </w:pPr>
            <w:r w:rsidRPr="00AA7646">
              <w:t>Total</w:t>
            </w:r>
          </w:p>
        </w:tc>
      </w:tr>
      <w:tr w:rsidR="00CC70CC" w:rsidTr="00F175C5">
        <w:tc>
          <w:tcPr>
            <w:tcW w:w="1368" w:type="dxa"/>
          </w:tcPr>
          <w:p w:rsidR="00CC70CC" w:rsidRDefault="00CC70CC" w:rsidP="00F175C5">
            <w:r>
              <w:t>Number of Responses</w:t>
            </w:r>
          </w:p>
        </w:tc>
        <w:tc>
          <w:tcPr>
            <w:tcW w:w="1368" w:type="dxa"/>
          </w:tcPr>
          <w:p w:rsidR="00CC70CC" w:rsidRDefault="00CC70CC" w:rsidP="00F175C5">
            <w:r>
              <w:t>41</w:t>
            </w:r>
          </w:p>
        </w:tc>
        <w:tc>
          <w:tcPr>
            <w:tcW w:w="1368" w:type="dxa"/>
          </w:tcPr>
          <w:p w:rsidR="00CC70CC" w:rsidRDefault="00CC70CC" w:rsidP="00F175C5">
            <w:r>
              <w:t>102</w:t>
            </w:r>
          </w:p>
        </w:tc>
        <w:tc>
          <w:tcPr>
            <w:tcW w:w="1368" w:type="dxa"/>
          </w:tcPr>
          <w:p w:rsidR="00CC70CC" w:rsidRDefault="00CC70CC" w:rsidP="00F175C5">
            <w:r>
              <w:t>516</w:t>
            </w:r>
          </w:p>
        </w:tc>
        <w:tc>
          <w:tcPr>
            <w:tcW w:w="1368" w:type="dxa"/>
          </w:tcPr>
          <w:p w:rsidR="00CC70CC" w:rsidRDefault="00CC70CC" w:rsidP="00F175C5">
            <w:r>
              <w:t>1330</w:t>
            </w:r>
          </w:p>
        </w:tc>
        <w:tc>
          <w:tcPr>
            <w:tcW w:w="1368" w:type="dxa"/>
          </w:tcPr>
          <w:p w:rsidR="00CC70CC" w:rsidRDefault="00CC70CC" w:rsidP="00F175C5">
            <w:r>
              <w:t>636</w:t>
            </w:r>
          </w:p>
        </w:tc>
        <w:tc>
          <w:tcPr>
            <w:tcW w:w="1368" w:type="dxa"/>
          </w:tcPr>
          <w:p w:rsidR="00CC70CC" w:rsidRDefault="00CC70CC" w:rsidP="00F175C5">
            <w:r>
              <w:t>2625</w:t>
            </w:r>
          </w:p>
        </w:tc>
      </w:tr>
      <w:tr w:rsidR="00CC70CC" w:rsidTr="00F175C5">
        <w:tc>
          <w:tcPr>
            <w:tcW w:w="1368" w:type="dxa"/>
          </w:tcPr>
          <w:p w:rsidR="00CC70CC" w:rsidRDefault="00CC70CC" w:rsidP="00F175C5">
            <w:r>
              <w:t>Percent of Responses</w:t>
            </w:r>
          </w:p>
        </w:tc>
        <w:tc>
          <w:tcPr>
            <w:tcW w:w="1368" w:type="dxa"/>
          </w:tcPr>
          <w:p w:rsidR="00CC70CC" w:rsidRDefault="00CC70CC" w:rsidP="00F175C5">
            <w:r>
              <w:t>1.6 %</w:t>
            </w:r>
          </w:p>
        </w:tc>
        <w:tc>
          <w:tcPr>
            <w:tcW w:w="1368" w:type="dxa"/>
          </w:tcPr>
          <w:p w:rsidR="00CC70CC" w:rsidRDefault="00CC70CC" w:rsidP="00F175C5">
            <w:r>
              <w:t>3.9 %</w:t>
            </w:r>
          </w:p>
        </w:tc>
        <w:tc>
          <w:tcPr>
            <w:tcW w:w="1368" w:type="dxa"/>
          </w:tcPr>
          <w:p w:rsidR="00CC70CC" w:rsidRDefault="00CC70CC" w:rsidP="00F175C5">
            <w:r>
              <w:t>19.7 %</w:t>
            </w:r>
          </w:p>
        </w:tc>
        <w:tc>
          <w:tcPr>
            <w:tcW w:w="1368" w:type="dxa"/>
          </w:tcPr>
          <w:p w:rsidR="00CC70CC" w:rsidRDefault="00CC70CC" w:rsidP="00F175C5">
            <w:r>
              <w:t>50.7 %</w:t>
            </w:r>
          </w:p>
        </w:tc>
        <w:tc>
          <w:tcPr>
            <w:tcW w:w="1368" w:type="dxa"/>
          </w:tcPr>
          <w:p w:rsidR="00CC70CC" w:rsidRDefault="00CC70CC" w:rsidP="00F175C5">
            <w:r>
              <w:t>24.2 %</w:t>
            </w:r>
          </w:p>
        </w:tc>
        <w:tc>
          <w:tcPr>
            <w:tcW w:w="1368" w:type="dxa"/>
          </w:tcPr>
          <w:p w:rsidR="00CC70CC" w:rsidRDefault="00CC70CC" w:rsidP="00F175C5">
            <w:r>
              <w:t>100.0 %</w:t>
            </w:r>
          </w:p>
        </w:tc>
      </w:tr>
    </w:tbl>
    <w:p w:rsidR="00892086" w:rsidRDefault="00892086">
      <w:pPr>
        <w:rPr>
          <w:b/>
        </w:rPr>
      </w:pPr>
      <w:r>
        <w:rPr>
          <w:b/>
        </w:rPr>
        <w:br w:type="page"/>
      </w:r>
    </w:p>
    <w:p w:rsidR="00C43A43" w:rsidRDefault="00440CBC" w:rsidP="00C43A43">
      <w:pPr>
        <w:rPr>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B72B3D" w:rsidRPr="00A908BB" w:rsidRDefault="00B72B3D" w:rsidP="00A908BB">
      <w:pPr>
        <w:spacing w:after="0" w:line="240" w:lineRule="auto"/>
        <w:rPr>
          <w:rFonts w:asciiTheme="minorHAnsi" w:hAnsiTheme="minorHAnsi"/>
          <w:b/>
        </w:rPr>
      </w:pPr>
      <w:r w:rsidRPr="00A908BB">
        <w:rPr>
          <w:rFonts w:asciiTheme="minorHAnsi" w:hAnsiTheme="minorHAnsi"/>
          <w:b/>
        </w:rPr>
        <w:t>Sonoma County Behavioral Health administered its own Client Satisfaction Survey. This survey was developed by mental health consumers and administered by mental health co</w:t>
      </w:r>
      <w:r w:rsidR="00D9650E" w:rsidRPr="00A908BB">
        <w:rPr>
          <w:rFonts w:asciiTheme="minorHAnsi" w:hAnsiTheme="minorHAnsi"/>
          <w:b/>
        </w:rPr>
        <w:t xml:space="preserve">nsumers. Some of the findings include: </w:t>
      </w:r>
    </w:p>
    <w:p w:rsidR="00A908BB" w:rsidRPr="00D9650E" w:rsidRDefault="00A908BB" w:rsidP="00A908BB">
      <w:pPr>
        <w:spacing w:after="0" w:line="240" w:lineRule="auto"/>
        <w:rPr>
          <w:rFonts w:asciiTheme="minorHAnsi" w:hAnsiTheme="minorHAnsi"/>
          <w:b/>
          <w:color w:val="C00000"/>
        </w:rPr>
      </w:pPr>
    </w:p>
    <w:tbl>
      <w:tblPr>
        <w:tblW w:w="9688" w:type="dxa"/>
        <w:jc w:val="center"/>
        <w:shd w:val="clear" w:color="auto" w:fill="F0E6EB"/>
        <w:tblLook w:val="0000" w:firstRow="0" w:lastRow="0" w:firstColumn="0" w:lastColumn="0" w:noHBand="0" w:noVBand="0"/>
      </w:tblPr>
      <w:tblGrid>
        <w:gridCol w:w="3386"/>
        <w:gridCol w:w="874"/>
        <w:gridCol w:w="836"/>
        <w:gridCol w:w="836"/>
        <w:gridCol w:w="901"/>
        <w:gridCol w:w="901"/>
        <w:gridCol w:w="1026"/>
        <w:gridCol w:w="928"/>
      </w:tblGrid>
      <w:tr w:rsidR="00D9650E" w:rsidRPr="00626749" w:rsidTr="00D9650E">
        <w:trPr>
          <w:trHeight w:val="20"/>
          <w:jc w:val="center"/>
        </w:trPr>
        <w:tc>
          <w:tcPr>
            <w:tcW w:w="3386" w:type="dxa"/>
            <w:tcBorders>
              <w:top w:val="single" w:sz="4" w:space="0" w:color="auto"/>
              <w:left w:val="single" w:sz="4" w:space="0" w:color="auto"/>
            </w:tcBorders>
            <w:shd w:val="clear" w:color="auto" w:fill="D9DEC8"/>
            <w:noWrap/>
            <w:vAlign w:val="bottom"/>
          </w:tcPr>
          <w:p w:rsidR="00D9650E" w:rsidRPr="00DA0D96" w:rsidRDefault="00D9650E" w:rsidP="00B72B3D">
            <w:pPr>
              <w:spacing w:after="0" w:line="240" w:lineRule="auto"/>
              <w:rPr>
                <w:rFonts w:eastAsia="Times New Roman"/>
                <w:sz w:val="17"/>
                <w:szCs w:val="17"/>
              </w:rPr>
            </w:pPr>
            <w:r w:rsidRPr="00DA0D96">
              <w:rPr>
                <w:rFonts w:eastAsia="Times New Roman"/>
                <w:sz w:val="17"/>
                <w:szCs w:val="17"/>
              </w:rPr>
              <w:t> </w:t>
            </w:r>
          </w:p>
        </w:tc>
        <w:tc>
          <w:tcPr>
            <w:tcW w:w="874" w:type="dxa"/>
            <w:tcBorders>
              <w:top w:val="single" w:sz="4" w:space="0" w:color="auto"/>
            </w:tcBorders>
            <w:shd w:val="clear" w:color="auto" w:fill="D9DEC8"/>
            <w:noWrap/>
            <w:vAlign w:val="bottom"/>
          </w:tcPr>
          <w:p w:rsidR="00D9650E" w:rsidRPr="00626749" w:rsidRDefault="00D9650E" w:rsidP="00B72B3D">
            <w:pPr>
              <w:spacing w:after="0" w:line="240" w:lineRule="auto"/>
              <w:jc w:val="center"/>
              <w:rPr>
                <w:rFonts w:eastAsia="Times New Roman"/>
                <w:b/>
                <w:bCs/>
                <w:sz w:val="18"/>
                <w:szCs w:val="18"/>
              </w:rPr>
            </w:pPr>
            <w:r w:rsidRPr="00626749">
              <w:rPr>
                <w:rFonts w:eastAsia="Times New Roman"/>
                <w:b/>
                <w:bCs/>
                <w:sz w:val="18"/>
                <w:szCs w:val="18"/>
              </w:rPr>
              <w:t>5</w:t>
            </w:r>
          </w:p>
        </w:tc>
        <w:tc>
          <w:tcPr>
            <w:tcW w:w="836" w:type="dxa"/>
            <w:tcBorders>
              <w:top w:val="single" w:sz="4" w:space="0" w:color="auto"/>
            </w:tcBorders>
            <w:shd w:val="clear" w:color="auto" w:fill="D9DEC8"/>
            <w:noWrap/>
            <w:vAlign w:val="bottom"/>
          </w:tcPr>
          <w:p w:rsidR="00D9650E" w:rsidRPr="00626749" w:rsidRDefault="00D9650E" w:rsidP="00B72B3D">
            <w:pPr>
              <w:spacing w:after="0" w:line="240" w:lineRule="auto"/>
              <w:jc w:val="center"/>
              <w:rPr>
                <w:rFonts w:eastAsia="Times New Roman"/>
                <w:b/>
                <w:bCs/>
                <w:sz w:val="18"/>
                <w:szCs w:val="18"/>
              </w:rPr>
            </w:pPr>
            <w:r w:rsidRPr="00626749">
              <w:rPr>
                <w:rFonts w:eastAsia="Times New Roman"/>
                <w:b/>
                <w:bCs/>
                <w:sz w:val="18"/>
                <w:szCs w:val="18"/>
              </w:rPr>
              <w:t>4</w:t>
            </w:r>
          </w:p>
        </w:tc>
        <w:tc>
          <w:tcPr>
            <w:tcW w:w="836" w:type="dxa"/>
            <w:tcBorders>
              <w:top w:val="single" w:sz="4" w:space="0" w:color="auto"/>
            </w:tcBorders>
            <w:shd w:val="clear" w:color="auto" w:fill="D9DEC8"/>
            <w:noWrap/>
            <w:vAlign w:val="bottom"/>
          </w:tcPr>
          <w:p w:rsidR="00D9650E" w:rsidRPr="00626749" w:rsidRDefault="00D9650E" w:rsidP="00B72B3D">
            <w:pPr>
              <w:spacing w:after="0" w:line="240" w:lineRule="auto"/>
              <w:jc w:val="center"/>
              <w:rPr>
                <w:rFonts w:eastAsia="Times New Roman"/>
                <w:b/>
                <w:bCs/>
                <w:sz w:val="18"/>
                <w:szCs w:val="18"/>
              </w:rPr>
            </w:pPr>
            <w:r w:rsidRPr="00626749">
              <w:rPr>
                <w:rFonts w:eastAsia="Times New Roman"/>
                <w:b/>
                <w:bCs/>
                <w:sz w:val="18"/>
                <w:szCs w:val="18"/>
              </w:rPr>
              <w:t>3</w:t>
            </w:r>
          </w:p>
        </w:tc>
        <w:tc>
          <w:tcPr>
            <w:tcW w:w="901" w:type="dxa"/>
            <w:tcBorders>
              <w:top w:val="single" w:sz="4" w:space="0" w:color="auto"/>
            </w:tcBorders>
            <w:shd w:val="clear" w:color="auto" w:fill="D9DEC8"/>
            <w:noWrap/>
            <w:vAlign w:val="bottom"/>
          </w:tcPr>
          <w:p w:rsidR="00D9650E" w:rsidRPr="00626749" w:rsidRDefault="00D9650E" w:rsidP="00B72B3D">
            <w:pPr>
              <w:spacing w:after="0" w:line="240" w:lineRule="auto"/>
              <w:jc w:val="center"/>
              <w:rPr>
                <w:rFonts w:eastAsia="Times New Roman"/>
                <w:b/>
                <w:bCs/>
                <w:sz w:val="18"/>
                <w:szCs w:val="18"/>
              </w:rPr>
            </w:pPr>
            <w:r w:rsidRPr="00626749">
              <w:rPr>
                <w:rFonts w:eastAsia="Times New Roman"/>
                <w:b/>
                <w:bCs/>
                <w:sz w:val="18"/>
                <w:szCs w:val="18"/>
              </w:rPr>
              <w:t>2</w:t>
            </w:r>
          </w:p>
        </w:tc>
        <w:tc>
          <w:tcPr>
            <w:tcW w:w="901" w:type="dxa"/>
            <w:tcBorders>
              <w:top w:val="single" w:sz="4" w:space="0" w:color="auto"/>
            </w:tcBorders>
            <w:shd w:val="clear" w:color="auto" w:fill="D9DEC8"/>
            <w:noWrap/>
            <w:vAlign w:val="bottom"/>
          </w:tcPr>
          <w:p w:rsidR="00D9650E" w:rsidRPr="00626749" w:rsidRDefault="00D9650E" w:rsidP="00B72B3D">
            <w:pPr>
              <w:spacing w:after="0" w:line="240" w:lineRule="auto"/>
              <w:jc w:val="center"/>
              <w:rPr>
                <w:rFonts w:eastAsia="Times New Roman"/>
                <w:b/>
                <w:bCs/>
                <w:sz w:val="18"/>
                <w:szCs w:val="18"/>
              </w:rPr>
            </w:pPr>
            <w:r w:rsidRPr="00626749">
              <w:rPr>
                <w:rFonts w:eastAsia="Times New Roman"/>
                <w:b/>
                <w:bCs/>
                <w:sz w:val="18"/>
                <w:szCs w:val="18"/>
              </w:rPr>
              <w:t>1</w:t>
            </w:r>
          </w:p>
        </w:tc>
        <w:tc>
          <w:tcPr>
            <w:tcW w:w="1026" w:type="dxa"/>
            <w:tcBorders>
              <w:top w:val="single" w:sz="4" w:space="0" w:color="auto"/>
            </w:tcBorders>
            <w:shd w:val="clear" w:color="auto" w:fill="D9DEC8"/>
            <w:noWrap/>
            <w:vAlign w:val="bottom"/>
          </w:tcPr>
          <w:p w:rsidR="00D9650E" w:rsidRPr="00626749" w:rsidRDefault="00D9650E" w:rsidP="00B72B3D">
            <w:pPr>
              <w:spacing w:after="0" w:line="240" w:lineRule="auto"/>
              <w:jc w:val="center"/>
              <w:rPr>
                <w:rFonts w:eastAsia="Times New Roman"/>
                <w:sz w:val="18"/>
                <w:szCs w:val="18"/>
              </w:rPr>
            </w:pPr>
            <w:r w:rsidRPr="00626749">
              <w:rPr>
                <w:rFonts w:eastAsia="Times New Roman"/>
                <w:sz w:val="18"/>
                <w:szCs w:val="18"/>
              </w:rPr>
              <w:t> </w:t>
            </w:r>
          </w:p>
        </w:tc>
        <w:tc>
          <w:tcPr>
            <w:tcW w:w="928" w:type="dxa"/>
            <w:tcBorders>
              <w:top w:val="single" w:sz="4" w:space="0" w:color="auto"/>
            </w:tcBorders>
            <w:shd w:val="clear" w:color="auto" w:fill="D9DEC8"/>
            <w:noWrap/>
            <w:vAlign w:val="bottom"/>
          </w:tcPr>
          <w:p w:rsidR="00D9650E" w:rsidRPr="00626749" w:rsidRDefault="00D9650E" w:rsidP="00B72B3D">
            <w:pPr>
              <w:spacing w:after="0" w:line="240" w:lineRule="auto"/>
              <w:jc w:val="center"/>
              <w:rPr>
                <w:rFonts w:eastAsia="Times New Roman"/>
                <w:sz w:val="18"/>
                <w:szCs w:val="18"/>
              </w:rPr>
            </w:pPr>
            <w:r w:rsidRPr="00626749">
              <w:rPr>
                <w:rFonts w:eastAsia="Times New Roman"/>
                <w:sz w:val="18"/>
                <w:szCs w:val="18"/>
              </w:rPr>
              <w:t> </w:t>
            </w:r>
          </w:p>
        </w:tc>
      </w:tr>
      <w:tr w:rsidR="00D9650E" w:rsidRPr="00626749" w:rsidTr="00D9650E">
        <w:trPr>
          <w:trHeight w:val="20"/>
          <w:jc w:val="center"/>
        </w:trPr>
        <w:tc>
          <w:tcPr>
            <w:tcW w:w="3386" w:type="dxa"/>
            <w:tcBorders>
              <w:left w:val="single" w:sz="4" w:space="0" w:color="auto"/>
            </w:tcBorders>
            <w:shd w:val="clear" w:color="auto" w:fill="D9DEC8"/>
            <w:vAlign w:val="center"/>
          </w:tcPr>
          <w:p w:rsidR="00D9650E" w:rsidRPr="00DA0D96" w:rsidRDefault="00D9650E" w:rsidP="00B72B3D">
            <w:pPr>
              <w:spacing w:after="0" w:line="240" w:lineRule="auto"/>
              <w:jc w:val="center"/>
              <w:rPr>
                <w:rFonts w:eastAsia="Times New Roman"/>
                <w:b/>
                <w:bCs/>
                <w:sz w:val="17"/>
                <w:szCs w:val="17"/>
              </w:rPr>
            </w:pPr>
            <w:r w:rsidRPr="00DA0D96">
              <w:rPr>
                <w:rFonts w:eastAsia="Times New Roman"/>
                <w:b/>
                <w:bCs/>
                <w:sz w:val="17"/>
                <w:szCs w:val="17"/>
              </w:rPr>
              <w:t> </w:t>
            </w:r>
          </w:p>
        </w:tc>
        <w:tc>
          <w:tcPr>
            <w:tcW w:w="874" w:type="dxa"/>
            <w:shd w:val="clear" w:color="auto" w:fill="D9DEC8"/>
            <w:vAlign w:val="center"/>
          </w:tcPr>
          <w:p w:rsidR="00D9650E" w:rsidRPr="00A40323" w:rsidRDefault="00D9650E" w:rsidP="00B72B3D">
            <w:pPr>
              <w:spacing w:after="0" w:line="240" w:lineRule="auto"/>
              <w:jc w:val="center"/>
              <w:rPr>
                <w:rFonts w:eastAsia="Times New Roman"/>
                <w:b/>
                <w:bCs/>
                <w:sz w:val="16"/>
                <w:szCs w:val="16"/>
              </w:rPr>
            </w:pPr>
            <w:r w:rsidRPr="00A40323">
              <w:rPr>
                <w:rFonts w:eastAsia="Times New Roman"/>
                <w:b/>
                <w:bCs/>
                <w:sz w:val="16"/>
                <w:szCs w:val="16"/>
              </w:rPr>
              <w:t>Strongly Agree</w:t>
            </w:r>
          </w:p>
        </w:tc>
        <w:tc>
          <w:tcPr>
            <w:tcW w:w="836" w:type="dxa"/>
            <w:shd w:val="clear" w:color="auto" w:fill="D9DEC8"/>
            <w:vAlign w:val="center"/>
          </w:tcPr>
          <w:p w:rsidR="00D9650E" w:rsidRPr="00A40323" w:rsidRDefault="00D9650E" w:rsidP="00B72B3D">
            <w:pPr>
              <w:spacing w:after="0" w:line="240" w:lineRule="auto"/>
              <w:jc w:val="center"/>
              <w:rPr>
                <w:rFonts w:eastAsia="Times New Roman"/>
                <w:b/>
                <w:bCs/>
                <w:sz w:val="16"/>
                <w:szCs w:val="16"/>
              </w:rPr>
            </w:pPr>
            <w:r w:rsidRPr="00A40323">
              <w:rPr>
                <w:rFonts w:eastAsia="Times New Roman"/>
                <w:b/>
                <w:bCs/>
                <w:sz w:val="16"/>
                <w:szCs w:val="16"/>
              </w:rPr>
              <w:t>Agree</w:t>
            </w:r>
          </w:p>
        </w:tc>
        <w:tc>
          <w:tcPr>
            <w:tcW w:w="836" w:type="dxa"/>
            <w:shd w:val="clear" w:color="auto" w:fill="D9DEC8"/>
            <w:vAlign w:val="center"/>
          </w:tcPr>
          <w:p w:rsidR="00D9650E" w:rsidRPr="00A40323" w:rsidRDefault="00D9650E" w:rsidP="00B72B3D">
            <w:pPr>
              <w:spacing w:after="0" w:line="240" w:lineRule="auto"/>
              <w:jc w:val="center"/>
              <w:rPr>
                <w:rFonts w:eastAsia="Times New Roman"/>
                <w:b/>
                <w:bCs/>
                <w:sz w:val="16"/>
                <w:szCs w:val="16"/>
              </w:rPr>
            </w:pPr>
            <w:r w:rsidRPr="00A40323">
              <w:rPr>
                <w:rFonts w:eastAsia="Times New Roman"/>
                <w:b/>
                <w:bCs/>
                <w:sz w:val="16"/>
                <w:szCs w:val="16"/>
              </w:rPr>
              <w:t>I am Neutral</w:t>
            </w:r>
          </w:p>
        </w:tc>
        <w:tc>
          <w:tcPr>
            <w:tcW w:w="901" w:type="dxa"/>
            <w:shd w:val="clear" w:color="auto" w:fill="D9DEC8"/>
            <w:vAlign w:val="center"/>
          </w:tcPr>
          <w:p w:rsidR="00D9650E" w:rsidRPr="00A40323" w:rsidRDefault="00D9650E" w:rsidP="00B72B3D">
            <w:pPr>
              <w:spacing w:after="0" w:line="240" w:lineRule="auto"/>
              <w:jc w:val="center"/>
              <w:rPr>
                <w:rFonts w:eastAsia="Times New Roman"/>
                <w:b/>
                <w:bCs/>
                <w:sz w:val="16"/>
                <w:szCs w:val="16"/>
              </w:rPr>
            </w:pPr>
            <w:r w:rsidRPr="00A40323">
              <w:rPr>
                <w:rFonts w:eastAsia="Times New Roman"/>
                <w:b/>
                <w:bCs/>
                <w:sz w:val="16"/>
                <w:szCs w:val="16"/>
              </w:rPr>
              <w:t>Disagree</w:t>
            </w:r>
          </w:p>
        </w:tc>
        <w:tc>
          <w:tcPr>
            <w:tcW w:w="901" w:type="dxa"/>
            <w:shd w:val="clear" w:color="auto" w:fill="D9DEC8"/>
            <w:vAlign w:val="center"/>
          </w:tcPr>
          <w:p w:rsidR="00D9650E" w:rsidRPr="00A40323" w:rsidRDefault="00D9650E" w:rsidP="00B72B3D">
            <w:pPr>
              <w:spacing w:after="0" w:line="240" w:lineRule="auto"/>
              <w:jc w:val="center"/>
              <w:rPr>
                <w:rFonts w:eastAsia="Times New Roman"/>
                <w:b/>
                <w:bCs/>
                <w:sz w:val="16"/>
                <w:szCs w:val="16"/>
              </w:rPr>
            </w:pPr>
            <w:r w:rsidRPr="00A40323">
              <w:rPr>
                <w:rFonts w:eastAsia="Times New Roman"/>
                <w:b/>
                <w:bCs/>
                <w:sz w:val="16"/>
                <w:szCs w:val="16"/>
              </w:rPr>
              <w:t>Strongly Disagree</w:t>
            </w:r>
          </w:p>
        </w:tc>
        <w:tc>
          <w:tcPr>
            <w:tcW w:w="1026" w:type="dxa"/>
            <w:shd w:val="clear" w:color="auto" w:fill="D9DEC8"/>
            <w:vAlign w:val="center"/>
          </w:tcPr>
          <w:p w:rsidR="00D9650E" w:rsidRPr="00A40323" w:rsidRDefault="00D9650E" w:rsidP="00B72B3D">
            <w:pPr>
              <w:spacing w:after="0" w:line="240" w:lineRule="auto"/>
              <w:jc w:val="center"/>
              <w:rPr>
                <w:rFonts w:eastAsia="Times New Roman"/>
                <w:b/>
                <w:bCs/>
                <w:sz w:val="16"/>
                <w:szCs w:val="16"/>
              </w:rPr>
            </w:pPr>
            <w:r w:rsidRPr="00A40323">
              <w:rPr>
                <w:rFonts w:eastAsia="Times New Roman"/>
                <w:b/>
                <w:bCs/>
                <w:sz w:val="16"/>
                <w:szCs w:val="16"/>
              </w:rPr>
              <w:t>Not Applicable</w:t>
            </w:r>
          </w:p>
        </w:tc>
        <w:tc>
          <w:tcPr>
            <w:tcW w:w="928" w:type="dxa"/>
            <w:shd w:val="clear" w:color="auto" w:fill="D9DEC8"/>
            <w:vAlign w:val="center"/>
          </w:tcPr>
          <w:p w:rsidR="00D9650E" w:rsidRPr="00A40323" w:rsidRDefault="00D9650E" w:rsidP="00B72B3D">
            <w:pPr>
              <w:spacing w:after="0" w:line="240" w:lineRule="auto"/>
              <w:jc w:val="center"/>
              <w:rPr>
                <w:rFonts w:eastAsia="Times New Roman"/>
                <w:b/>
                <w:bCs/>
                <w:sz w:val="16"/>
                <w:szCs w:val="16"/>
              </w:rPr>
            </w:pPr>
            <w:r w:rsidRPr="00A40323">
              <w:rPr>
                <w:rFonts w:eastAsia="Times New Roman"/>
                <w:b/>
                <w:bCs/>
                <w:sz w:val="16"/>
                <w:szCs w:val="16"/>
              </w:rPr>
              <w:t>Total Answers/ question</w:t>
            </w:r>
          </w:p>
        </w:tc>
      </w:tr>
      <w:tr w:rsidR="00D9650E" w:rsidRPr="00626749" w:rsidTr="00D9650E">
        <w:trPr>
          <w:trHeight w:val="20"/>
          <w:jc w:val="center"/>
        </w:trPr>
        <w:tc>
          <w:tcPr>
            <w:tcW w:w="3386" w:type="dxa"/>
            <w:tcBorders>
              <w:left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Because of the help I get, I am better able to manage my life.</w:t>
            </w:r>
          </w:p>
        </w:tc>
        <w:tc>
          <w:tcPr>
            <w:tcW w:w="874" w:type="dxa"/>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141</w:t>
            </w:r>
          </w:p>
        </w:tc>
        <w:tc>
          <w:tcPr>
            <w:tcW w:w="836" w:type="dxa"/>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119</w:t>
            </w:r>
          </w:p>
        </w:tc>
        <w:tc>
          <w:tcPr>
            <w:tcW w:w="836" w:type="dxa"/>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43</w:t>
            </w:r>
          </w:p>
        </w:tc>
        <w:tc>
          <w:tcPr>
            <w:tcW w:w="901" w:type="dxa"/>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14</w:t>
            </w:r>
          </w:p>
        </w:tc>
        <w:tc>
          <w:tcPr>
            <w:tcW w:w="901" w:type="dxa"/>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5</w:t>
            </w:r>
          </w:p>
        </w:tc>
        <w:tc>
          <w:tcPr>
            <w:tcW w:w="1026" w:type="dxa"/>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w:t>
            </w:r>
          </w:p>
        </w:tc>
        <w:tc>
          <w:tcPr>
            <w:tcW w:w="928" w:type="dxa"/>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323</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p>
        </w:tc>
        <w:tc>
          <w:tcPr>
            <w:tcW w:w="874"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43.65%</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36.84%</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13.31%</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4.33%</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1.55%</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0.31%</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p>
        </w:tc>
      </w:tr>
      <w:tr w:rsidR="00D9650E" w:rsidRPr="00626749" w:rsidTr="00D9650E">
        <w:trPr>
          <w:trHeight w:val="20"/>
          <w:jc w:val="center"/>
        </w:trPr>
        <w:tc>
          <w:tcPr>
            <w:tcW w:w="3386" w:type="dxa"/>
            <w:tcBorders>
              <w:top w:val="single" w:sz="4" w:space="0" w:color="auto"/>
              <w:left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SCMH staff treat me like a human being, with dignity and respect.</w:t>
            </w:r>
          </w:p>
        </w:tc>
        <w:tc>
          <w:tcPr>
            <w:tcW w:w="874" w:type="dxa"/>
            <w:tcBorders>
              <w:top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177</w:t>
            </w:r>
          </w:p>
        </w:tc>
        <w:tc>
          <w:tcPr>
            <w:tcW w:w="836" w:type="dxa"/>
            <w:tcBorders>
              <w:top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110</w:t>
            </w:r>
          </w:p>
        </w:tc>
        <w:tc>
          <w:tcPr>
            <w:tcW w:w="836" w:type="dxa"/>
            <w:tcBorders>
              <w:top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20</w:t>
            </w:r>
          </w:p>
        </w:tc>
        <w:tc>
          <w:tcPr>
            <w:tcW w:w="901" w:type="dxa"/>
            <w:tcBorders>
              <w:top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9</w:t>
            </w:r>
          </w:p>
        </w:tc>
        <w:tc>
          <w:tcPr>
            <w:tcW w:w="901" w:type="dxa"/>
            <w:tcBorders>
              <w:top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w:t>
            </w:r>
          </w:p>
        </w:tc>
        <w:tc>
          <w:tcPr>
            <w:tcW w:w="1026" w:type="dxa"/>
            <w:tcBorders>
              <w:top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0</w:t>
            </w:r>
          </w:p>
        </w:tc>
        <w:tc>
          <w:tcPr>
            <w:tcW w:w="928" w:type="dxa"/>
            <w:tcBorders>
              <w:top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319</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 </w:t>
            </w:r>
          </w:p>
        </w:tc>
        <w:tc>
          <w:tcPr>
            <w:tcW w:w="874"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55.49%</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34.48%</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6.27%</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2.82%</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0.94%</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0.00%</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 </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SCMH staff are helping me to be in charge of my mental health recovery.</w:t>
            </w:r>
          </w:p>
        </w:tc>
        <w:tc>
          <w:tcPr>
            <w:tcW w:w="874"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b/>
                <w:bCs/>
                <w:sz w:val="18"/>
                <w:szCs w:val="18"/>
              </w:rPr>
            </w:pPr>
            <w:r w:rsidRPr="00D9650E">
              <w:rPr>
                <w:rFonts w:eastAsia="Times New Roman"/>
                <w:b/>
                <w:bCs/>
                <w:sz w:val="18"/>
                <w:szCs w:val="18"/>
              </w:rPr>
              <w:t>122</w:t>
            </w:r>
          </w:p>
        </w:tc>
        <w:tc>
          <w:tcPr>
            <w:tcW w:w="836"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sz w:val="18"/>
                <w:szCs w:val="18"/>
              </w:rPr>
            </w:pPr>
            <w:r w:rsidRPr="00D9650E">
              <w:rPr>
                <w:rFonts w:eastAsia="Times New Roman"/>
                <w:sz w:val="18"/>
                <w:szCs w:val="18"/>
              </w:rPr>
              <w:t>127</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45</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13</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7</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4</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318</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p>
        </w:tc>
        <w:tc>
          <w:tcPr>
            <w:tcW w:w="874"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b/>
                <w:bCs/>
                <w:sz w:val="18"/>
                <w:szCs w:val="18"/>
              </w:rPr>
            </w:pPr>
            <w:r w:rsidRPr="00D9650E">
              <w:rPr>
                <w:rFonts w:eastAsia="Times New Roman"/>
                <w:b/>
                <w:bCs/>
                <w:sz w:val="18"/>
                <w:szCs w:val="18"/>
              </w:rPr>
              <w:t>38.36%</w:t>
            </w:r>
          </w:p>
        </w:tc>
        <w:tc>
          <w:tcPr>
            <w:tcW w:w="836"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sz w:val="18"/>
                <w:szCs w:val="18"/>
              </w:rPr>
            </w:pPr>
            <w:r w:rsidRPr="00D9650E">
              <w:rPr>
                <w:rFonts w:eastAsia="Times New Roman"/>
                <w:sz w:val="18"/>
                <w:szCs w:val="18"/>
              </w:rPr>
              <w:t>39.94%</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14.15%</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4.09%</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2.20%</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1.26%</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When I have a crisis, I receive enough support.</w:t>
            </w:r>
          </w:p>
        </w:tc>
        <w:tc>
          <w:tcPr>
            <w:tcW w:w="874"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123</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118</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45</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16</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9</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5</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316</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 </w:t>
            </w:r>
          </w:p>
        </w:tc>
        <w:tc>
          <w:tcPr>
            <w:tcW w:w="874"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38.92%</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37.34%</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14.24%</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5.06%</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2.85%</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1.58%</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 </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SCMH staff believe I can recover and have the kind of life I want.</w:t>
            </w:r>
          </w:p>
        </w:tc>
        <w:tc>
          <w:tcPr>
            <w:tcW w:w="874"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b/>
                <w:bCs/>
                <w:sz w:val="18"/>
                <w:szCs w:val="18"/>
              </w:rPr>
            </w:pPr>
            <w:r w:rsidRPr="00D9650E">
              <w:rPr>
                <w:rFonts w:eastAsia="Times New Roman"/>
                <w:b/>
                <w:bCs/>
                <w:sz w:val="18"/>
                <w:szCs w:val="18"/>
              </w:rPr>
              <w:t>109</w:t>
            </w:r>
          </w:p>
        </w:tc>
        <w:tc>
          <w:tcPr>
            <w:tcW w:w="836"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sz w:val="18"/>
                <w:szCs w:val="18"/>
              </w:rPr>
            </w:pPr>
            <w:r w:rsidRPr="00D9650E">
              <w:rPr>
                <w:rFonts w:eastAsia="Times New Roman"/>
                <w:sz w:val="18"/>
                <w:szCs w:val="18"/>
              </w:rPr>
              <w:t>118</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56</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12</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6</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8</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309</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p>
        </w:tc>
        <w:tc>
          <w:tcPr>
            <w:tcW w:w="874"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b/>
                <w:bCs/>
                <w:sz w:val="18"/>
                <w:szCs w:val="18"/>
              </w:rPr>
            </w:pPr>
            <w:r w:rsidRPr="00D9650E">
              <w:rPr>
                <w:rFonts w:eastAsia="Times New Roman"/>
                <w:b/>
                <w:bCs/>
                <w:sz w:val="18"/>
                <w:szCs w:val="18"/>
              </w:rPr>
              <w:t>35.28%</w:t>
            </w:r>
          </w:p>
        </w:tc>
        <w:tc>
          <w:tcPr>
            <w:tcW w:w="836"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sz w:val="18"/>
                <w:szCs w:val="18"/>
              </w:rPr>
            </w:pPr>
            <w:r w:rsidRPr="00D9650E">
              <w:rPr>
                <w:rFonts w:eastAsia="Times New Roman"/>
                <w:sz w:val="18"/>
                <w:szCs w:val="18"/>
              </w:rPr>
              <w:t>38.19%</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18.12%</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3.88%</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1.94%</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2.59%</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I feel comfortable talking with SCMH staff about my challenges, needs, and hopes.</w:t>
            </w:r>
          </w:p>
        </w:tc>
        <w:tc>
          <w:tcPr>
            <w:tcW w:w="874"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128</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126</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38</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14</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7</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316</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 </w:t>
            </w:r>
          </w:p>
        </w:tc>
        <w:tc>
          <w:tcPr>
            <w:tcW w:w="874"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b/>
                <w:bCs/>
                <w:sz w:val="18"/>
                <w:szCs w:val="18"/>
              </w:rPr>
            </w:pPr>
            <w:r w:rsidRPr="00626749">
              <w:rPr>
                <w:rFonts w:eastAsia="Times New Roman"/>
                <w:b/>
                <w:bCs/>
                <w:sz w:val="18"/>
                <w:szCs w:val="18"/>
              </w:rPr>
              <w:t>40.51%</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39.87%</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12.03%</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4.43%</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2.22%</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0.95%</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 </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r w:rsidRPr="00DA0D96">
              <w:rPr>
                <w:rFonts w:eastAsia="Times New Roman"/>
                <w:b/>
                <w:bCs/>
                <w:sz w:val="17"/>
                <w:szCs w:val="17"/>
              </w:rPr>
              <w:t>SCMH staff seek to be sensitive to my cultural background and needs (race, ethnicity, religion, language, deaf culture, sexual orientation, gender identity, etc.).</w:t>
            </w:r>
          </w:p>
        </w:tc>
        <w:tc>
          <w:tcPr>
            <w:tcW w:w="874"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b/>
                <w:bCs/>
                <w:sz w:val="18"/>
                <w:szCs w:val="18"/>
              </w:rPr>
            </w:pPr>
            <w:r w:rsidRPr="00D9650E">
              <w:rPr>
                <w:rFonts w:eastAsia="Times New Roman"/>
                <w:b/>
                <w:bCs/>
                <w:sz w:val="18"/>
                <w:szCs w:val="18"/>
              </w:rPr>
              <w:t>111</w:t>
            </w:r>
          </w:p>
        </w:tc>
        <w:tc>
          <w:tcPr>
            <w:tcW w:w="836"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sz w:val="18"/>
                <w:szCs w:val="18"/>
              </w:rPr>
            </w:pPr>
            <w:r w:rsidRPr="00D9650E">
              <w:rPr>
                <w:rFonts w:eastAsia="Times New Roman"/>
                <w:sz w:val="18"/>
                <w:szCs w:val="18"/>
              </w:rPr>
              <w:t>115</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54</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10</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6</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19</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315</w:t>
            </w:r>
          </w:p>
        </w:tc>
      </w:tr>
      <w:tr w:rsidR="00D9650E" w:rsidRPr="00626749" w:rsidTr="00D9650E">
        <w:trPr>
          <w:trHeight w:val="20"/>
          <w:jc w:val="center"/>
        </w:trPr>
        <w:tc>
          <w:tcPr>
            <w:tcW w:w="3386" w:type="dxa"/>
            <w:tcBorders>
              <w:left w:val="single" w:sz="4" w:space="0" w:color="auto"/>
              <w:bottom w:val="single" w:sz="4" w:space="0" w:color="auto"/>
            </w:tcBorders>
            <w:shd w:val="clear" w:color="auto" w:fill="F0E6EB"/>
            <w:vAlign w:val="center"/>
          </w:tcPr>
          <w:p w:rsidR="00D9650E" w:rsidRPr="00DA0D96" w:rsidRDefault="00D9650E" w:rsidP="0094028B">
            <w:pPr>
              <w:spacing w:after="0" w:line="240" w:lineRule="auto"/>
              <w:rPr>
                <w:rFonts w:eastAsia="Times New Roman"/>
                <w:b/>
                <w:bCs/>
                <w:sz w:val="17"/>
                <w:szCs w:val="17"/>
              </w:rPr>
            </w:pPr>
          </w:p>
        </w:tc>
        <w:tc>
          <w:tcPr>
            <w:tcW w:w="874"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b/>
                <w:bCs/>
                <w:sz w:val="18"/>
                <w:szCs w:val="18"/>
              </w:rPr>
            </w:pPr>
            <w:r w:rsidRPr="00D9650E">
              <w:rPr>
                <w:rFonts w:eastAsia="Times New Roman"/>
                <w:b/>
                <w:bCs/>
                <w:sz w:val="18"/>
                <w:szCs w:val="18"/>
              </w:rPr>
              <w:t>35.24%</w:t>
            </w:r>
          </w:p>
        </w:tc>
        <w:tc>
          <w:tcPr>
            <w:tcW w:w="836" w:type="dxa"/>
            <w:tcBorders>
              <w:bottom w:val="single" w:sz="4" w:space="0" w:color="auto"/>
            </w:tcBorders>
            <w:shd w:val="clear" w:color="auto" w:fill="F0E6EB"/>
            <w:noWrap/>
            <w:vAlign w:val="center"/>
          </w:tcPr>
          <w:p w:rsidR="00D9650E" w:rsidRPr="00D9650E" w:rsidRDefault="00D9650E" w:rsidP="0094028B">
            <w:pPr>
              <w:spacing w:after="0" w:line="240" w:lineRule="auto"/>
              <w:jc w:val="center"/>
              <w:rPr>
                <w:rFonts w:eastAsia="Times New Roman"/>
                <w:sz w:val="18"/>
                <w:szCs w:val="18"/>
              </w:rPr>
            </w:pPr>
            <w:r w:rsidRPr="00D9650E">
              <w:rPr>
                <w:rFonts w:eastAsia="Times New Roman"/>
                <w:sz w:val="18"/>
                <w:szCs w:val="18"/>
              </w:rPr>
              <w:t>36.51%</w:t>
            </w:r>
          </w:p>
        </w:tc>
        <w:tc>
          <w:tcPr>
            <w:tcW w:w="83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17.14%</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3.17%</w:t>
            </w:r>
          </w:p>
        </w:tc>
        <w:tc>
          <w:tcPr>
            <w:tcW w:w="901"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1.90%</w:t>
            </w:r>
          </w:p>
        </w:tc>
        <w:tc>
          <w:tcPr>
            <w:tcW w:w="1026"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r w:rsidRPr="00626749">
              <w:rPr>
                <w:rFonts w:eastAsia="Times New Roman"/>
                <w:sz w:val="18"/>
                <w:szCs w:val="18"/>
              </w:rPr>
              <w:t>6.03%</w:t>
            </w:r>
          </w:p>
        </w:tc>
        <w:tc>
          <w:tcPr>
            <w:tcW w:w="928" w:type="dxa"/>
            <w:tcBorders>
              <w:bottom w:val="single" w:sz="4" w:space="0" w:color="auto"/>
            </w:tcBorders>
            <w:shd w:val="clear" w:color="auto" w:fill="F0E6EB"/>
            <w:noWrap/>
            <w:vAlign w:val="center"/>
          </w:tcPr>
          <w:p w:rsidR="00D9650E" w:rsidRPr="00626749" w:rsidRDefault="00D9650E" w:rsidP="0094028B">
            <w:pPr>
              <w:spacing w:after="0" w:line="240" w:lineRule="auto"/>
              <w:jc w:val="center"/>
              <w:rPr>
                <w:rFonts w:eastAsia="Times New Roman"/>
                <w:sz w:val="18"/>
                <w:szCs w:val="18"/>
              </w:rPr>
            </w:pPr>
          </w:p>
        </w:tc>
      </w:tr>
    </w:tbl>
    <w:p w:rsidR="00D9650E" w:rsidRPr="00C43A43" w:rsidRDefault="00D9650E" w:rsidP="0094028B"/>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C43A43" w:rsidRPr="00A908BB" w:rsidRDefault="00D9650E" w:rsidP="00D9650E">
      <w:pPr>
        <w:spacing w:after="0" w:line="240" w:lineRule="auto"/>
        <w:rPr>
          <w:rFonts w:asciiTheme="minorHAnsi" w:hAnsiTheme="minorHAnsi"/>
          <w:b/>
        </w:rPr>
      </w:pPr>
      <w:r w:rsidRPr="00A908BB">
        <w:rPr>
          <w:rFonts w:asciiTheme="minorHAnsi" w:hAnsiTheme="minorHAnsi"/>
          <w:b/>
        </w:rPr>
        <w:t xml:space="preserve">Our consumer developed and implemented the </w:t>
      </w:r>
      <w:r w:rsidR="00202DF6" w:rsidRPr="00A908BB">
        <w:rPr>
          <w:rFonts w:asciiTheme="minorHAnsi" w:hAnsiTheme="minorHAnsi"/>
          <w:b/>
        </w:rPr>
        <w:t>surveys</w:t>
      </w:r>
      <w:r w:rsidRPr="00A908BB">
        <w:rPr>
          <w:rFonts w:asciiTheme="minorHAnsi" w:hAnsiTheme="minorHAnsi"/>
          <w:b/>
        </w:rPr>
        <w:t xml:space="preserve"> and subsequent Client Satisfaction Surveys. </w:t>
      </w:r>
      <w:r w:rsidR="00202DF6" w:rsidRPr="00A908BB">
        <w:rPr>
          <w:rFonts w:asciiTheme="minorHAnsi" w:hAnsiTheme="minorHAnsi"/>
          <w:b/>
        </w:rPr>
        <w:t xml:space="preserve">Sonoma County was able to provide mental health consumers who helped implement the survey with a stipend.  Consumers went into waiting rooms of outpatient programs, into psychiatric emergency services, board and care facilities, and consumer wellness centers in order to get a full range of feedback. </w:t>
      </w:r>
      <w:r w:rsidRPr="00A908BB">
        <w:rPr>
          <w:rFonts w:asciiTheme="minorHAnsi" w:hAnsiTheme="minorHAnsi"/>
          <w:b/>
        </w:rPr>
        <w:t>The consumer developed survey has been an important tool for consumers and providers to work together to think through and solve specific problems</w:t>
      </w:r>
      <w:r w:rsidR="00202DF6" w:rsidRPr="00A908BB">
        <w:rPr>
          <w:rFonts w:asciiTheme="minorHAnsi" w:hAnsiTheme="minorHAnsi"/>
          <w:b/>
        </w:rPr>
        <w:t xml:space="preserve">. </w:t>
      </w:r>
      <w:r w:rsidRPr="00A908BB">
        <w:rPr>
          <w:rFonts w:asciiTheme="minorHAnsi" w:hAnsiTheme="minorHAnsi"/>
          <w:b/>
        </w:rPr>
        <w:t xml:space="preserve"> </w:t>
      </w:r>
    </w:p>
    <w:p w:rsidR="00202DF6" w:rsidRDefault="00202DF6" w:rsidP="00C43A43">
      <w:pPr>
        <w:rPr>
          <w:b/>
        </w:rPr>
      </w:pPr>
    </w:p>
    <w:p w:rsid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0E6374" w:rsidRPr="00A908BB" w:rsidRDefault="000E6374" w:rsidP="00202DF6">
      <w:pPr>
        <w:spacing w:after="0" w:line="240" w:lineRule="auto"/>
        <w:rPr>
          <w:rFonts w:asciiTheme="minorHAnsi" w:hAnsiTheme="minorHAnsi"/>
          <w:b/>
        </w:rPr>
      </w:pPr>
      <w:r w:rsidRPr="00A908BB">
        <w:rPr>
          <w:rFonts w:asciiTheme="minorHAnsi" w:hAnsiTheme="minorHAnsi"/>
          <w:b/>
        </w:rPr>
        <w:t>The</w:t>
      </w:r>
      <w:r w:rsidR="00202DF6" w:rsidRPr="00A908BB">
        <w:rPr>
          <w:rFonts w:asciiTheme="minorHAnsi" w:hAnsiTheme="minorHAnsi"/>
          <w:b/>
        </w:rPr>
        <w:t xml:space="preserve"> feedback SC-BHD has received about the bi-annual </w:t>
      </w:r>
      <w:r w:rsidRPr="00A908BB">
        <w:rPr>
          <w:rFonts w:asciiTheme="minorHAnsi" w:hAnsiTheme="minorHAnsi"/>
          <w:b/>
        </w:rPr>
        <w:t xml:space="preserve">client satisfaction surveys </w:t>
      </w:r>
      <w:r w:rsidR="00202DF6" w:rsidRPr="00A908BB">
        <w:rPr>
          <w:rFonts w:asciiTheme="minorHAnsi" w:hAnsiTheme="minorHAnsi"/>
          <w:b/>
        </w:rPr>
        <w:t>is</w:t>
      </w:r>
      <w:r w:rsidRPr="00A908BB">
        <w:rPr>
          <w:rFonts w:asciiTheme="minorHAnsi" w:hAnsiTheme="minorHAnsi"/>
          <w:b/>
        </w:rPr>
        <w:t xml:space="preserve"> </w:t>
      </w:r>
      <w:r w:rsidR="00202DF6" w:rsidRPr="00A908BB">
        <w:rPr>
          <w:rFonts w:asciiTheme="minorHAnsi" w:hAnsiTheme="minorHAnsi"/>
          <w:b/>
        </w:rPr>
        <w:t xml:space="preserve">that they are VERY long, they are too frequent, and it’s not in the consumer language.  The length of these surveys has an impact on whether people are willing to fill them out. Also, administering these surveys twice per year is very cumbersome and many consumers reply when asked to fill out a survey, “Didn’t I already do that?” </w:t>
      </w:r>
      <w:r w:rsidR="003E767B" w:rsidRPr="00A908BB">
        <w:rPr>
          <w:rFonts w:asciiTheme="minorHAnsi" w:hAnsiTheme="minorHAnsi"/>
          <w:b/>
        </w:rPr>
        <w:t>Also, it is very difficult to get specific feedback from the survey. It is hard to know which part of the services is being evaluated because the information comes back to the county in aggregate. Lastly, the state has a hard time giving counties local feedback quickly so consumers are being asked to complete twice</w:t>
      </w:r>
      <w:r w:rsidR="00282A48" w:rsidRPr="00A908BB">
        <w:rPr>
          <w:rFonts w:asciiTheme="minorHAnsi" w:hAnsiTheme="minorHAnsi"/>
          <w:b/>
        </w:rPr>
        <w:t xml:space="preserve"> and are getting no feedback nor giving time for Counties to respond with consumers with feedback. </w:t>
      </w:r>
    </w:p>
    <w:p w:rsidR="00123A72" w:rsidRDefault="00123A72" w:rsidP="00C43A43">
      <w:pPr>
        <w:rPr>
          <w:b/>
        </w:rPr>
      </w:pPr>
    </w:p>
    <w:p w:rsidR="00C43A43" w:rsidRPr="00C43A43" w:rsidRDefault="00C43A43" w:rsidP="00C43A43">
      <w:pPr>
        <w:rPr>
          <w:b/>
        </w:rPr>
      </w:pPr>
      <w:r w:rsidRPr="00C43A43">
        <w:rPr>
          <w:b/>
        </w:rPr>
        <w:t xml:space="preserve">18.  Lastly, </w:t>
      </w:r>
      <w:r w:rsidR="0099259E">
        <w:rPr>
          <w:b/>
        </w:rPr>
        <w:t xml:space="preserve">but perhaps most important </w:t>
      </w:r>
      <w:r w:rsidRPr="00C43A43">
        <w:rPr>
          <w:b/>
        </w:rPr>
        <w:t>overall, with respect to delivery of services, do you have suggestions regarding any of the following:</w:t>
      </w:r>
    </w:p>
    <w:p w:rsid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D26A99" w:rsidRDefault="00D26A99" w:rsidP="00D26A99">
      <w:pPr>
        <w:pStyle w:val="ListParagraph"/>
        <w:spacing w:after="0" w:line="240" w:lineRule="auto"/>
        <w:rPr>
          <w:b/>
        </w:rPr>
      </w:pPr>
    </w:p>
    <w:p w:rsidR="00422BDA" w:rsidRPr="001241BC" w:rsidRDefault="006B3D9E" w:rsidP="00D26A99">
      <w:pPr>
        <w:pStyle w:val="ListParagraph"/>
        <w:spacing w:after="0" w:line="240" w:lineRule="auto"/>
        <w:rPr>
          <w:rFonts w:asciiTheme="minorHAnsi" w:hAnsiTheme="minorHAnsi"/>
          <w:b/>
        </w:rPr>
      </w:pPr>
      <w:r w:rsidRPr="001241BC">
        <w:rPr>
          <w:rFonts w:asciiTheme="minorHAnsi" w:hAnsiTheme="minorHAnsi"/>
          <w:b/>
        </w:rPr>
        <w:t xml:space="preserve">The prohibition for IMDs to draw down federal Medicaid matching payments for </w:t>
      </w:r>
      <w:r w:rsidR="00A908BB" w:rsidRPr="001241BC">
        <w:rPr>
          <w:rFonts w:asciiTheme="minorHAnsi" w:hAnsiTheme="minorHAnsi"/>
          <w:b/>
        </w:rPr>
        <w:t>individuals’</w:t>
      </w:r>
      <w:r w:rsidRPr="001241BC">
        <w:rPr>
          <w:rFonts w:asciiTheme="minorHAnsi" w:hAnsiTheme="minorHAnsi"/>
          <w:b/>
        </w:rPr>
        <w:t xml:space="preserve"> ages 22 to 64 with </w:t>
      </w:r>
      <w:r w:rsidR="00A908BB" w:rsidRPr="001241BC">
        <w:rPr>
          <w:rFonts w:asciiTheme="minorHAnsi" w:hAnsiTheme="minorHAnsi"/>
          <w:b/>
        </w:rPr>
        <w:t xml:space="preserve">SMPI is a barrier to necessary treatment options. </w:t>
      </w:r>
      <w:r w:rsidR="00422BDA" w:rsidRPr="001241BC">
        <w:rPr>
          <w:rFonts w:asciiTheme="minorHAnsi" w:hAnsiTheme="minorHAnsi"/>
          <w:b/>
        </w:rPr>
        <w:t xml:space="preserve"> </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D26A99" w:rsidRDefault="00D26A99" w:rsidP="00D26A99">
      <w:pPr>
        <w:pStyle w:val="ListParagraph"/>
        <w:spacing w:after="0" w:line="240" w:lineRule="auto"/>
        <w:rPr>
          <w:rFonts w:asciiTheme="minorHAnsi" w:hAnsiTheme="minorHAnsi"/>
          <w:b/>
          <w:color w:val="C00000"/>
        </w:rPr>
      </w:pPr>
    </w:p>
    <w:p w:rsidR="00D26A99" w:rsidRPr="001241BC" w:rsidRDefault="00D26A99" w:rsidP="00D26A99">
      <w:pPr>
        <w:pStyle w:val="ListParagraph"/>
        <w:spacing w:after="0" w:line="240" w:lineRule="auto"/>
        <w:rPr>
          <w:rFonts w:asciiTheme="minorHAnsi" w:hAnsiTheme="minorHAnsi"/>
          <w:b/>
        </w:rPr>
      </w:pPr>
      <w:r w:rsidRPr="001241BC">
        <w:rPr>
          <w:rFonts w:asciiTheme="minorHAnsi" w:hAnsiTheme="minorHAnsi"/>
          <w:b/>
        </w:rPr>
        <w:t xml:space="preserve">With the advent of the Patient Protection and Affordable Care Act MediCal beneficiaries who have mild and moderate mental health needs can now receive mental health treatment. This increased benefit has taken the pressure off of County Mental Health Plans to serve people whose mental health issues do not reach the level of medical necessity.  Also, it provides continued ongoing treatment to beneficiaries who can step down from specialty mental health services into a lower level of care. </w:t>
      </w:r>
    </w:p>
    <w:p w:rsidR="00C43A43" w:rsidRPr="001241BC"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D26A99" w:rsidRDefault="00D26A99" w:rsidP="00D26A99">
      <w:pPr>
        <w:spacing w:after="0" w:line="240" w:lineRule="auto"/>
        <w:rPr>
          <w:rFonts w:asciiTheme="minorHAnsi" w:hAnsiTheme="minorHAnsi"/>
          <w:b/>
          <w:color w:val="C00000"/>
        </w:rPr>
      </w:pPr>
    </w:p>
    <w:p w:rsidR="004D2317" w:rsidRDefault="004D2317"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99259E" w:rsidRDefault="0099259E" w:rsidP="0099259E">
      <w:r w:rsidRPr="0099259E">
        <w:rPr>
          <w:sz w:val="28"/>
          <w:szCs w:val="28"/>
        </w:rPr>
        <w:t>REFERENCE</w:t>
      </w:r>
      <w:r>
        <w:rPr>
          <w:sz w:val="28"/>
          <w:szCs w:val="28"/>
        </w:rPr>
        <w:t xml:space="preserve"> </w:t>
      </w:r>
      <w:r w:rsidRPr="0099259E">
        <w:rPr>
          <w:sz w:val="28"/>
          <w:szCs w:val="28"/>
        </w:rPr>
        <w:t xml:space="preserve"> DATA:</w:t>
      </w:r>
      <w:r>
        <w:t xml:space="preserve">  for general comparison with your county MHP results</w:t>
      </w:r>
    </w:p>
    <w:p w:rsidR="0099259E" w:rsidRPr="0099259E" w:rsidRDefault="0099259E" w:rsidP="0099259E">
      <w:pPr>
        <w:jc w:val="center"/>
        <w:rPr>
          <w:sz w:val="20"/>
          <w:szCs w:val="20"/>
        </w:rPr>
      </w:pPr>
    </w:p>
    <w:p w:rsidR="0099259E" w:rsidRDefault="0099259E" w:rsidP="0099259E">
      <w:r>
        <w:rPr>
          <w:noProof/>
        </w:rPr>
        <w:drawing>
          <wp:inline distT="0" distB="0" distL="0" distR="0">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2090420"/>
                    </a:xfrm>
                    <a:prstGeom prst="rect">
                      <a:avLst/>
                    </a:prstGeom>
                  </pic:spPr>
                </pic:pic>
              </a:graphicData>
            </a:graphic>
          </wp:inline>
        </w:drawing>
      </w:r>
    </w:p>
    <w:p w:rsidR="0099259E" w:rsidRDefault="0099259E" w:rsidP="0099259E"/>
    <w:p w:rsidR="0099259E" w:rsidRDefault="0099259E" w:rsidP="0099259E">
      <w:r>
        <w:rPr>
          <w:noProof/>
        </w:rPr>
        <w:drawing>
          <wp:inline distT="0" distB="0" distL="0" distR="0">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2095500"/>
                    </a:xfrm>
                    <a:prstGeom prst="rect">
                      <a:avLst/>
                    </a:prstGeom>
                  </pic:spPr>
                </pic:pic>
              </a:graphicData>
            </a:graphic>
          </wp:inline>
        </w:drawing>
      </w:r>
    </w:p>
    <w:p w:rsidR="0099259E" w:rsidRDefault="0099259E" w:rsidP="0099259E"/>
    <w:p w:rsidR="0099259E" w:rsidRDefault="0099259E" w:rsidP="0099259E">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99259E" w:rsidRPr="009D71D4" w:rsidRDefault="0099259E" w:rsidP="0099259E">
      <w:pPr>
        <w:autoSpaceDE w:val="0"/>
        <w:autoSpaceDN w:val="0"/>
        <w:rPr>
          <w:color w:val="000000"/>
          <w:sz w:val="20"/>
          <w:szCs w:val="20"/>
          <w:lang w:val="es-MX"/>
        </w:rPr>
      </w:pPr>
      <w:r w:rsidRPr="009D71D4">
        <w:rPr>
          <w:rFonts w:ascii="Courier New" w:hAnsi="Courier New" w:cs="Courier New"/>
          <w:color w:val="244061"/>
          <w:sz w:val="20"/>
          <w:szCs w:val="20"/>
          <w:lang w:val="es-MX"/>
        </w:rPr>
        <w:t xml:space="preserve">o </w:t>
      </w:r>
      <w:r w:rsidRPr="009D71D4">
        <w:rPr>
          <w:color w:val="000000"/>
          <w:sz w:val="20"/>
          <w:szCs w:val="20"/>
          <w:lang w:val="es-MX"/>
        </w:rPr>
        <w:t>Small</w:t>
      </w:r>
      <w:r w:rsidRPr="009D71D4">
        <w:rPr>
          <w:rFonts w:ascii="Cambria Math" w:hAnsi="Cambria Math" w:cs="Cambria Math"/>
          <w:color w:val="000000"/>
          <w:sz w:val="20"/>
          <w:szCs w:val="20"/>
          <w:lang w:val="es-MX"/>
        </w:rPr>
        <w:t>‐</w:t>
      </w:r>
      <w:r w:rsidRPr="009D71D4">
        <w:rPr>
          <w:color w:val="000000"/>
          <w:sz w:val="20"/>
          <w:szCs w:val="20"/>
          <w:lang w:val="es-MX"/>
        </w:rPr>
        <w:t>Rural MHPs = Alpine, Amador, Calaveras, Colusa, Del Norte, Glenn, Inyo, Lassen, Mariposa, Modoc, Mono, Plumas, Siskiyou, Trinity</w:t>
      </w:r>
    </w:p>
    <w:p w:rsidR="0099259E" w:rsidRPr="009D71D4" w:rsidRDefault="0099259E" w:rsidP="0099259E">
      <w:pPr>
        <w:autoSpaceDE w:val="0"/>
        <w:autoSpaceDN w:val="0"/>
        <w:rPr>
          <w:color w:val="000000"/>
          <w:sz w:val="20"/>
          <w:szCs w:val="20"/>
          <w:lang w:val="es-MX"/>
        </w:rPr>
      </w:pPr>
      <w:r w:rsidRPr="009D71D4">
        <w:rPr>
          <w:rFonts w:ascii="Courier New" w:hAnsi="Courier New" w:cs="Courier New"/>
          <w:color w:val="244061"/>
          <w:sz w:val="20"/>
          <w:szCs w:val="20"/>
          <w:lang w:val="es-MX"/>
        </w:rPr>
        <w:t xml:space="preserve">o </w:t>
      </w:r>
      <w:r w:rsidRPr="009D71D4">
        <w:rPr>
          <w:color w:val="000000"/>
          <w:sz w:val="20"/>
          <w:szCs w:val="20"/>
          <w:lang w:val="es-MX"/>
        </w:rPr>
        <w:t>Small MHPs = El Dorado, Humboldt, Imperial, Kings, Lake, Madera, Mendocino, Napa, Nevada, San Benito, Shasta, Sutter/Yuba, Tehama, Tuolumne</w:t>
      </w:r>
    </w:p>
    <w:p w:rsidR="0099259E" w:rsidRPr="009D71D4" w:rsidRDefault="0099259E" w:rsidP="0099259E">
      <w:pPr>
        <w:autoSpaceDE w:val="0"/>
        <w:autoSpaceDN w:val="0"/>
        <w:rPr>
          <w:color w:val="000000"/>
          <w:sz w:val="20"/>
          <w:szCs w:val="20"/>
          <w:lang w:val="es-MX"/>
        </w:rPr>
      </w:pPr>
      <w:r w:rsidRPr="009D71D4">
        <w:rPr>
          <w:rFonts w:ascii="Courier New" w:hAnsi="Courier New" w:cs="Courier New"/>
          <w:color w:val="244061"/>
          <w:sz w:val="20"/>
          <w:szCs w:val="20"/>
          <w:lang w:val="es-MX"/>
        </w:rPr>
        <w:t xml:space="preserve">o </w:t>
      </w:r>
      <w:r w:rsidRPr="009D71D4">
        <w:rPr>
          <w:color w:val="000000"/>
          <w:sz w:val="20"/>
          <w:szCs w:val="20"/>
          <w:lang w:val="es-MX"/>
        </w:rPr>
        <w:t>Medium MHPs = Butte, Marin, Merced, Monterey, Placer/Sierra, San Joaquin, San Luis Obispo, San Mateo, Santa Barbara, Santa Cruz, Solano, Sonoma, Stanislaus, Tulare, Yolo</w:t>
      </w:r>
    </w:p>
    <w:p w:rsidR="0099259E" w:rsidRPr="009D71D4" w:rsidRDefault="0099259E" w:rsidP="0099259E">
      <w:pPr>
        <w:autoSpaceDE w:val="0"/>
        <w:autoSpaceDN w:val="0"/>
        <w:rPr>
          <w:color w:val="000000"/>
          <w:sz w:val="20"/>
          <w:szCs w:val="20"/>
          <w:lang w:val="es-MX"/>
        </w:rPr>
      </w:pPr>
      <w:r w:rsidRPr="009D71D4">
        <w:rPr>
          <w:rFonts w:ascii="Courier New" w:hAnsi="Courier New" w:cs="Courier New"/>
          <w:color w:val="244061"/>
          <w:sz w:val="20"/>
          <w:szCs w:val="20"/>
          <w:lang w:val="es-MX"/>
        </w:rPr>
        <w:t xml:space="preserve">o </w:t>
      </w:r>
      <w:r w:rsidRPr="009D71D4">
        <w:rPr>
          <w:color w:val="000000"/>
          <w:sz w:val="20"/>
          <w:szCs w:val="20"/>
          <w:lang w:val="es-MX"/>
        </w:rPr>
        <w:t>Large MHPs = Alameda, Contra Costa, Fresno, Kern, Orange, Riverside, Sacramento, San Bernardino, San Diego, San Francisco, Santa Clara, Ventura</w:t>
      </w:r>
    </w:p>
    <w:p w:rsidR="0099259E" w:rsidRDefault="0099259E" w:rsidP="0099259E">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99259E" w:rsidRDefault="0099259E" w:rsidP="0099259E">
      <w:pPr>
        <w:rPr>
          <w:sz w:val="22"/>
          <w:szCs w:val="22"/>
        </w:rPr>
      </w:pPr>
      <w:r>
        <w:rPr>
          <w:color w:val="000000"/>
          <w:sz w:val="20"/>
          <w:szCs w:val="20"/>
        </w:rPr>
        <w:t>Total Values (in Tables above) = include all statewide data received by CiMH for these survey items.</w:t>
      </w:r>
    </w:p>
    <w:p w:rsidR="001633F6" w:rsidRDefault="001633F6" w:rsidP="0099259E">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8858C4" w:rsidP="002A39D1">
      <w:pPr>
        <w:rPr>
          <w:b/>
        </w:rPr>
      </w:pPr>
      <w:hyperlink r:id="rId24"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8858C4" w:rsidP="002A39D1">
      <w:r>
        <w:rPr>
          <w:b/>
          <w:noProof/>
        </w:rPr>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0D72F4" w:rsidRDefault="000D72F4">
                  <w:pPr>
                    <w:rPr>
                      <w:color w:val="4F81BD" w:themeColor="accent1"/>
                      <w:sz w:val="20"/>
                      <w:szCs w:val="20"/>
                    </w:rPr>
                  </w:pPr>
                  <w:r>
                    <w:rPr>
                      <w:noProof/>
                    </w:rPr>
                    <w:drawing>
                      <wp:inline distT="0" distB="0" distL="0" distR="0">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v:textbox>
            <w10:wrap type="square" anchorx="margin" anchory="margin"/>
          </v:rect>
        </w:pict>
      </w:r>
      <w:r w:rsidR="002C1D41" w:rsidRPr="00CB31BC">
        <w:t>(916) 323-4501</w:t>
      </w:r>
    </w:p>
    <w:sectPr w:rsidR="002A39D1" w:rsidRPr="00CB31BC" w:rsidSect="00CB31BC">
      <w:footerReference w:type="default" r:id="rId25"/>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C4" w:rsidRDefault="008858C4" w:rsidP="001633F6">
      <w:pPr>
        <w:spacing w:after="0" w:line="240" w:lineRule="auto"/>
      </w:pPr>
      <w:r>
        <w:separator/>
      </w:r>
    </w:p>
  </w:endnote>
  <w:endnote w:type="continuationSeparator" w:id="0">
    <w:p w:rsidR="008858C4" w:rsidRDefault="008858C4"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0D72F4" w:rsidRDefault="008858C4">
        <w:pPr>
          <w:pStyle w:val="Footer"/>
          <w:jc w:val="right"/>
        </w:pPr>
        <w:r>
          <w:fldChar w:fldCharType="begin"/>
        </w:r>
        <w:r>
          <w:instrText xml:space="preserve"> PAGE   \* MERGEFORMAT </w:instrText>
        </w:r>
        <w:r>
          <w:fldChar w:fldCharType="separate"/>
        </w:r>
        <w:r w:rsidR="00B22B98">
          <w:rPr>
            <w:noProof/>
          </w:rPr>
          <w:t>2</w:t>
        </w:r>
        <w:r>
          <w:rPr>
            <w:noProof/>
          </w:rPr>
          <w:fldChar w:fldCharType="end"/>
        </w:r>
      </w:p>
    </w:sdtContent>
  </w:sdt>
  <w:p w:rsidR="000D72F4" w:rsidRDefault="000D72F4"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C4" w:rsidRDefault="008858C4" w:rsidP="001633F6">
      <w:pPr>
        <w:spacing w:after="0" w:line="240" w:lineRule="auto"/>
      </w:pPr>
      <w:r>
        <w:separator/>
      </w:r>
    </w:p>
  </w:footnote>
  <w:footnote w:type="continuationSeparator" w:id="0">
    <w:p w:rsidR="008858C4" w:rsidRDefault="008858C4" w:rsidP="001633F6">
      <w:pPr>
        <w:spacing w:after="0" w:line="240" w:lineRule="auto"/>
      </w:pPr>
      <w:r>
        <w:continuationSeparator/>
      </w:r>
    </w:p>
  </w:footnote>
  <w:footnote w:id="1">
    <w:p w:rsidR="000D72F4" w:rsidRDefault="000D72F4" w:rsidP="003644DB">
      <w:pPr>
        <w:pStyle w:val="FootnoteText"/>
      </w:pPr>
      <w:r>
        <w:rPr>
          <w:rStyle w:val="FootnoteReference"/>
        </w:rPr>
        <w:footnoteRef/>
      </w:r>
      <w:r>
        <w:t xml:space="preserve"> Serious Mental Disorder, term used for adults 18 and older.</w:t>
      </w:r>
    </w:p>
  </w:footnote>
  <w:footnote w:id="2">
    <w:p w:rsidR="000D72F4" w:rsidRDefault="000D72F4" w:rsidP="003644DB">
      <w:pPr>
        <w:pStyle w:val="FootnoteText"/>
      </w:pPr>
      <w:r>
        <w:rPr>
          <w:rStyle w:val="FootnoteReference"/>
        </w:rPr>
        <w:footnoteRef/>
      </w:r>
      <w:r>
        <w:t xml:space="preserve"> Severe Emotional Disorder, term used for children 17 and under.</w:t>
      </w:r>
    </w:p>
  </w:footnote>
  <w:footnote w:id="3">
    <w:p w:rsidR="000D72F4" w:rsidRPr="009D71D4" w:rsidRDefault="000D72F4" w:rsidP="00CC70CC">
      <w:pPr>
        <w:autoSpaceDE w:val="0"/>
        <w:autoSpaceDN w:val="0"/>
        <w:rPr>
          <w:color w:val="000000"/>
          <w:sz w:val="20"/>
          <w:szCs w:val="20"/>
          <w:lang w:val="es-MX"/>
        </w:rPr>
      </w:pPr>
      <w:r>
        <w:rPr>
          <w:rStyle w:val="FootnoteReference"/>
        </w:rPr>
        <w:footnoteRef/>
      </w:r>
      <w:r w:rsidRPr="009D71D4">
        <w:rPr>
          <w:lang w:val="es-MX"/>
        </w:rPr>
        <w:t xml:space="preserve"> </w:t>
      </w:r>
      <w:r w:rsidRPr="009D71D4">
        <w:rPr>
          <w:sz w:val="20"/>
          <w:szCs w:val="20"/>
          <w:u w:val="single"/>
          <w:lang w:val="es-MX"/>
        </w:rPr>
        <w:t>Medium-sized counties</w:t>
      </w:r>
      <w:r w:rsidRPr="009D71D4">
        <w:rPr>
          <w:lang w:val="es-MX"/>
        </w:rPr>
        <w:t xml:space="preserve">: </w:t>
      </w:r>
      <w:r w:rsidRPr="009D71D4">
        <w:rPr>
          <w:color w:val="000000"/>
          <w:sz w:val="20"/>
          <w:szCs w:val="20"/>
          <w:lang w:val="es-MX"/>
        </w:rPr>
        <w:t>Butte, Marin, Merced, Monterey, Placer/Sierra, San Joaquin, San Luis Obispo, San Mateo, Santa Barbara, Santa Cruz, Solano, Sonoma, Stanislaus, Tulare, Yolo.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1EC5EF8"/>
    <w:multiLevelType w:val="hybridMultilevel"/>
    <w:tmpl w:val="1ED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762AE"/>
    <w:multiLevelType w:val="hybridMultilevel"/>
    <w:tmpl w:val="F68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F3B7642"/>
    <w:multiLevelType w:val="hybridMultilevel"/>
    <w:tmpl w:val="50F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
  </w:num>
  <w:num w:numId="3">
    <w:abstractNumId w:val="19"/>
  </w:num>
  <w:num w:numId="4">
    <w:abstractNumId w:val="18"/>
  </w:num>
  <w:num w:numId="5">
    <w:abstractNumId w:val="13"/>
  </w:num>
  <w:num w:numId="6">
    <w:abstractNumId w:val="25"/>
  </w:num>
  <w:num w:numId="7">
    <w:abstractNumId w:val="21"/>
  </w:num>
  <w:num w:numId="8">
    <w:abstractNumId w:val="22"/>
  </w:num>
  <w:num w:numId="9">
    <w:abstractNumId w:val="6"/>
  </w:num>
  <w:num w:numId="10">
    <w:abstractNumId w:val="12"/>
  </w:num>
  <w:num w:numId="11">
    <w:abstractNumId w:val="26"/>
  </w:num>
  <w:num w:numId="12">
    <w:abstractNumId w:val="16"/>
  </w:num>
  <w:num w:numId="13">
    <w:abstractNumId w:val="11"/>
  </w:num>
  <w:num w:numId="14">
    <w:abstractNumId w:val="8"/>
  </w:num>
  <w:num w:numId="15">
    <w:abstractNumId w:val="32"/>
  </w:num>
  <w:num w:numId="16">
    <w:abstractNumId w:val="15"/>
  </w:num>
  <w:num w:numId="17">
    <w:abstractNumId w:val="28"/>
  </w:num>
  <w:num w:numId="18">
    <w:abstractNumId w:val="4"/>
  </w:num>
  <w:num w:numId="19">
    <w:abstractNumId w:val="17"/>
  </w:num>
  <w:num w:numId="20">
    <w:abstractNumId w:val="24"/>
  </w:num>
  <w:num w:numId="21">
    <w:abstractNumId w:val="31"/>
  </w:num>
  <w:num w:numId="22">
    <w:abstractNumId w:val="14"/>
  </w:num>
  <w:num w:numId="23">
    <w:abstractNumId w:val="7"/>
  </w:num>
  <w:num w:numId="24">
    <w:abstractNumId w:val="30"/>
  </w:num>
  <w:num w:numId="25">
    <w:abstractNumId w:val="23"/>
  </w:num>
  <w:num w:numId="26">
    <w:abstractNumId w:val="5"/>
  </w:num>
  <w:num w:numId="27">
    <w:abstractNumId w:val="0"/>
  </w:num>
  <w:num w:numId="28">
    <w:abstractNumId w:val="29"/>
  </w:num>
  <w:num w:numId="29">
    <w:abstractNumId w:val="20"/>
  </w:num>
  <w:num w:numId="30">
    <w:abstractNumId w:val="10"/>
  </w:num>
  <w:num w:numId="31">
    <w:abstractNumId w:val="27"/>
  </w:num>
  <w:num w:numId="32">
    <w:abstractNumId w:val="3"/>
  </w:num>
  <w:num w:numId="3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F6"/>
    <w:rsid w:val="0003140A"/>
    <w:rsid w:val="00034062"/>
    <w:rsid w:val="0005010E"/>
    <w:rsid w:val="0005044C"/>
    <w:rsid w:val="0005210B"/>
    <w:rsid w:val="00062603"/>
    <w:rsid w:val="000658FC"/>
    <w:rsid w:val="00072279"/>
    <w:rsid w:val="00073774"/>
    <w:rsid w:val="00096711"/>
    <w:rsid w:val="000B73A4"/>
    <w:rsid w:val="000D07AE"/>
    <w:rsid w:val="000D72F4"/>
    <w:rsid w:val="000E6374"/>
    <w:rsid w:val="000F228D"/>
    <w:rsid w:val="000F4FD0"/>
    <w:rsid w:val="00104C08"/>
    <w:rsid w:val="00111FEB"/>
    <w:rsid w:val="00123A72"/>
    <w:rsid w:val="001241BC"/>
    <w:rsid w:val="001242E5"/>
    <w:rsid w:val="00146D04"/>
    <w:rsid w:val="00147650"/>
    <w:rsid w:val="00152E3F"/>
    <w:rsid w:val="00154227"/>
    <w:rsid w:val="00161093"/>
    <w:rsid w:val="00162652"/>
    <w:rsid w:val="001633F6"/>
    <w:rsid w:val="0018278A"/>
    <w:rsid w:val="001B4EE0"/>
    <w:rsid w:val="001C4A7D"/>
    <w:rsid w:val="001C5311"/>
    <w:rsid w:val="001C6F3E"/>
    <w:rsid w:val="001D000F"/>
    <w:rsid w:val="00202DF6"/>
    <w:rsid w:val="00206823"/>
    <w:rsid w:val="002161A3"/>
    <w:rsid w:val="002272B4"/>
    <w:rsid w:val="00243C30"/>
    <w:rsid w:val="002526FB"/>
    <w:rsid w:val="002652CE"/>
    <w:rsid w:val="002741C1"/>
    <w:rsid w:val="00282A48"/>
    <w:rsid w:val="0029557D"/>
    <w:rsid w:val="0029778A"/>
    <w:rsid w:val="002A39D1"/>
    <w:rsid w:val="002C1D41"/>
    <w:rsid w:val="002C2658"/>
    <w:rsid w:val="002C5FFA"/>
    <w:rsid w:val="00314FF1"/>
    <w:rsid w:val="003152DB"/>
    <w:rsid w:val="00322B30"/>
    <w:rsid w:val="003259DD"/>
    <w:rsid w:val="00342BA8"/>
    <w:rsid w:val="00357FCB"/>
    <w:rsid w:val="00363B4E"/>
    <w:rsid w:val="003644DB"/>
    <w:rsid w:val="00367E4E"/>
    <w:rsid w:val="00370CFB"/>
    <w:rsid w:val="003755D4"/>
    <w:rsid w:val="003824ED"/>
    <w:rsid w:val="003A0022"/>
    <w:rsid w:val="003A5615"/>
    <w:rsid w:val="003B0B36"/>
    <w:rsid w:val="003B5FB9"/>
    <w:rsid w:val="003C0EF2"/>
    <w:rsid w:val="003E080F"/>
    <w:rsid w:val="003E2B04"/>
    <w:rsid w:val="003E767B"/>
    <w:rsid w:val="003F7DC8"/>
    <w:rsid w:val="004045F0"/>
    <w:rsid w:val="00411F03"/>
    <w:rsid w:val="00422BDA"/>
    <w:rsid w:val="00423653"/>
    <w:rsid w:val="00427D32"/>
    <w:rsid w:val="00431428"/>
    <w:rsid w:val="00436CF0"/>
    <w:rsid w:val="00440CBC"/>
    <w:rsid w:val="00445920"/>
    <w:rsid w:val="00450F14"/>
    <w:rsid w:val="00464DC8"/>
    <w:rsid w:val="00480813"/>
    <w:rsid w:val="00490151"/>
    <w:rsid w:val="00492D56"/>
    <w:rsid w:val="004C02EC"/>
    <w:rsid w:val="004C0893"/>
    <w:rsid w:val="004C2E42"/>
    <w:rsid w:val="004D1BE1"/>
    <w:rsid w:val="004D2317"/>
    <w:rsid w:val="004D4308"/>
    <w:rsid w:val="004E0CBB"/>
    <w:rsid w:val="004E2CD7"/>
    <w:rsid w:val="004F5096"/>
    <w:rsid w:val="00506108"/>
    <w:rsid w:val="005063E6"/>
    <w:rsid w:val="00514CBA"/>
    <w:rsid w:val="005369F2"/>
    <w:rsid w:val="005554A1"/>
    <w:rsid w:val="00560BED"/>
    <w:rsid w:val="0058072F"/>
    <w:rsid w:val="00584ABF"/>
    <w:rsid w:val="00585369"/>
    <w:rsid w:val="005A71AE"/>
    <w:rsid w:val="005B3EAA"/>
    <w:rsid w:val="005C3731"/>
    <w:rsid w:val="005C5440"/>
    <w:rsid w:val="005D6380"/>
    <w:rsid w:val="005E1B03"/>
    <w:rsid w:val="005E3B58"/>
    <w:rsid w:val="005E493B"/>
    <w:rsid w:val="005F1FFA"/>
    <w:rsid w:val="00600E3E"/>
    <w:rsid w:val="00601364"/>
    <w:rsid w:val="0060599D"/>
    <w:rsid w:val="00605B85"/>
    <w:rsid w:val="006254F8"/>
    <w:rsid w:val="006310CD"/>
    <w:rsid w:val="00657F5C"/>
    <w:rsid w:val="0066101F"/>
    <w:rsid w:val="006867F9"/>
    <w:rsid w:val="006A4FEB"/>
    <w:rsid w:val="006B1643"/>
    <w:rsid w:val="006B2BB9"/>
    <w:rsid w:val="006B3D9E"/>
    <w:rsid w:val="006C0082"/>
    <w:rsid w:val="006D3461"/>
    <w:rsid w:val="006E1398"/>
    <w:rsid w:val="006F59A4"/>
    <w:rsid w:val="007136CC"/>
    <w:rsid w:val="00726A10"/>
    <w:rsid w:val="00734CCC"/>
    <w:rsid w:val="00736CB3"/>
    <w:rsid w:val="00744405"/>
    <w:rsid w:val="00746BA7"/>
    <w:rsid w:val="007573C0"/>
    <w:rsid w:val="00761489"/>
    <w:rsid w:val="007756D4"/>
    <w:rsid w:val="00780E3E"/>
    <w:rsid w:val="0079331B"/>
    <w:rsid w:val="00795A53"/>
    <w:rsid w:val="007B0FE3"/>
    <w:rsid w:val="007B5AE3"/>
    <w:rsid w:val="007D2B61"/>
    <w:rsid w:val="007D65C5"/>
    <w:rsid w:val="007E6BC3"/>
    <w:rsid w:val="007F2D99"/>
    <w:rsid w:val="00807B75"/>
    <w:rsid w:val="00822315"/>
    <w:rsid w:val="00834067"/>
    <w:rsid w:val="00835B87"/>
    <w:rsid w:val="008423B9"/>
    <w:rsid w:val="00842DD4"/>
    <w:rsid w:val="008436AA"/>
    <w:rsid w:val="00844338"/>
    <w:rsid w:val="008518A1"/>
    <w:rsid w:val="0088002A"/>
    <w:rsid w:val="008858C4"/>
    <w:rsid w:val="008902AE"/>
    <w:rsid w:val="00892086"/>
    <w:rsid w:val="008B0516"/>
    <w:rsid w:val="008D6CE4"/>
    <w:rsid w:val="008E177E"/>
    <w:rsid w:val="0091007B"/>
    <w:rsid w:val="009167CF"/>
    <w:rsid w:val="00921A7A"/>
    <w:rsid w:val="0093336B"/>
    <w:rsid w:val="009377C6"/>
    <w:rsid w:val="0094028B"/>
    <w:rsid w:val="00951B6C"/>
    <w:rsid w:val="0099259E"/>
    <w:rsid w:val="0099300A"/>
    <w:rsid w:val="00993E79"/>
    <w:rsid w:val="009969F0"/>
    <w:rsid w:val="009A17A0"/>
    <w:rsid w:val="009C002A"/>
    <w:rsid w:val="009D1AFE"/>
    <w:rsid w:val="009D6E26"/>
    <w:rsid w:val="009D71D4"/>
    <w:rsid w:val="00A00DE9"/>
    <w:rsid w:val="00A01841"/>
    <w:rsid w:val="00A06EDA"/>
    <w:rsid w:val="00A31E47"/>
    <w:rsid w:val="00A332B3"/>
    <w:rsid w:val="00A63A2E"/>
    <w:rsid w:val="00A63FB0"/>
    <w:rsid w:val="00A653DF"/>
    <w:rsid w:val="00A67A65"/>
    <w:rsid w:val="00A70FFB"/>
    <w:rsid w:val="00A836DF"/>
    <w:rsid w:val="00A86045"/>
    <w:rsid w:val="00A908BB"/>
    <w:rsid w:val="00A93967"/>
    <w:rsid w:val="00AA5263"/>
    <w:rsid w:val="00AB1626"/>
    <w:rsid w:val="00AB73FA"/>
    <w:rsid w:val="00AC4B91"/>
    <w:rsid w:val="00AD6738"/>
    <w:rsid w:val="00AE7F98"/>
    <w:rsid w:val="00AF672B"/>
    <w:rsid w:val="00B03D2A"/>
    <w:rsid w:val="00B07512"/>
    <w:rsid w:val="00B10D78"/>
    <w:rsid w:val="00B127E9"/>
    <w:rsid w:val="00B22B98"/>
    <w:rsid w:val="00B27406"/>
    <w:rsid w:val="00B43D47"/>
    <w:rsid w:val="00B72B3D"/>
    <w:rsid w:val="00B76AB0"/>
    <w:rsid w:val="00B82CF3"/>
    <w:rsid w:val="00B8602A"/>
    <w:rsid w:val="00B9636E"/>
    <w:rsid w:val="00BC061D"/>
    <w:rsid w:val="00BC1A5F"/>
    <w:rsid w:val="00BD769D"/>
    <w:rsid w:val="00BE19D2"/>
    <w:rsid w:val="00BE7786"/>
    <w:rsid w:val="00BE7ED7"/>
    <w:rsid w:val="00BF3EC3"/>
    <w:rsid w:val="00C04621"/>
    <w:rsid w:val="00C06762"/>
    <w:rsid w:val="00C25D85"/>
    <w:rsid w:val="00C26531"/>
    <w:rsid w:val="00C37241"/>
    <w:rsid w:val="00C43A43"/>
    <w:rsid w:val="00C52B92"/>
    <w:rsid w:val="00C55E57"/>
    <w:rsid w:val="00C657CF"/>
    <w:rsid w:val="00C91363"/>
    <w:rsid w:val="00C962E2"/>
    <w:rsid w:val="00C9662B"/>
    <w:rsid w:val="00CB31BC"/>
    <w:rsid w:val="00CB379E"/>
    <w:rsid w:val="00CB39E5"/>
    <w:rsid w:val="00CC4E58"/>
    <w:rsid w:val="00CC658F"/>
    <w:rsid w:val="00CC70CC"/>
    <w:rsid w:val="00CC7C8D"/>
    <w:rsid w:val="00CD0A3D"/>
    <w:rsid w:val="00CD4B6A"/>
    <w:rsid w:val="00CD7422"/>
    <w:rsid w:val="00CE5D50"/>
    <w:rsid w:val="00CF52E0"/>
    <w:rsid w:val="00D04E1F"/>
    <w:rsid w:val="00D05B12"/>
    <w:rsid w:val="00D05CD4"/>
    <w:rsid w:val="00D06E9B"/>
    <w:rsid w:val="00D26A99"/>
    <w:rsid w:val="00D35E98"/>
    <w:rsid w:val="00D43FF0"/>
    <w:rsid w:val="00D53809"/>
    <w:rsid w:val="00D54B26"/>
    <w:rsid w:val="00D61FF8"/>
    <w:rsid w:val="00D62352"/>
    <w:rsid w:val="00D64A05"/>
    <w:rsid w:val="00D70BC4"/>
    <w:rsid w:val="00D90961"/>
    <w:rsid w:val="00D92982"/>
    <w:rsid w:val="00D95115"/>
    <w:rsid w:val="00D9650E"/>
    <w:rsid w:val="00D979EA"/>
    <w:rsid w:val="00DB07F8"/>
    <w:rsid w:val="00DB13A0"/>
    <w:rsid w:val="00DB4B65"/>
    <w:rsid w:val="00DB5B1A"/>
    <w:rsid w:val="00DC3F8C"/>
    <w:rsid w:val="00DD0808"/>
    <w:rsid w:val="00DE7DD4"/>
    <w:rsid w:val="00DF4D35"/>
    <w:rsid w:val="00DF5259"/>
    <w:rsid w:val="00E20FD5"/>
    <w:rsid w:val="00E4057A"/>
    <w:rsid w:val="00E4170E"/>
    <w:rsid w:val="00E45C46"/>
    <w:rsid w:val="00E50DE2"/>
    <w:rsid w:val="00E50F42"/>
    <w:rsid w:val="00E51D4B"/>
    <w:rsid w:val="00E57519"/>
    <w:rsid w:val="00E71203"/>
    <w:rsid w:val="00E73A9B"/>
    <w:rsid w:val="00EB05FD"/>
    <w:rsid w:val="00EC1B86"/>
    <w:rsid w:val="00ED45DC"/>
    <w:rsid w:val="00EE1FB3"/>
    <w:rsid w:val="00EE4124"/>
    <w:rsid w:val="00EF57C6"/>
    <w:rsid w:val="00F0699C"/>
    <w:rsid w:val="00F175C5"/>
    <w:rsid w:val="00F20329"/>
    <w:rsid w:val="00F2267D"/>
    <w:rsid w:val="00F227C1"/>
    <w:rsid w:val="00F37D8E"/>
    <w:rsid w:val="00F4327E"/>
    <w:rsid w:val="00F524B7"/>
    <w:rsid w:val="00F53D08"/>
    <w:rsid w:val="00F639CE"/>
    <w:rsid w:val="00F647E3"/>
    <w:rsid w:val="00F825BA"/>
    <w:rsid w:val="00F87EC2"/>
    <w:rsid w:val="00FA34CD"/>
    <w:rsid w:val="00FA63E7"/>
    <w:rsid w:val="00FB173C"/>
    <w:rsid w:val="00FC6D67"/>
    <w:rsid w:val="00FE3E7E"/>
    <w:rsid w:val="00FE6308"/>
    <w:rsid w:val="00FF1DAB"/>
    <w:rsid w:val="00FF317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paragraph" w:styleId="Subtitle">
    <w:name w:val="Subtitle"/>
    <w:basedOn w:val="Normal"/>
    <w:next w:val="Normal"/>
    <w:link w:val="SubtitleChar"/>
    <w:uiPriority w:val="11"/>
    <w:qFormat/>
    <w:rsid w:val="00AB1626"/>
    <w:pPr>
      <w:jc w:val="center"/>
    </w:pPr>
    <w:rPr>
      <w:rFonts w:ascii="Bodoni MT Black" w:hAnsi="Bodoni MT Black"/>
      <w:smallCaps/>
      <w:sz w:val="40"/>
      <w:szCs w:val="40"/>
    </w:rPr>
  </w:style>
  <w:style w:type="character" w:customStyle="1" w:styleId="SubtitleChar">
    <w:name w:val="Subtitle Char"/>
    <w:basedOn w:val="DefaultParagraphFont"/>
    <w:link w:val="Subtitle"/>
    <w:uiPriority w:val="11"/>
    <w:rsid w:val="00AB1626"/>
    <w:rPr>
      <w:rFonts w:ascii="Bodoni MT Black" w:hAnsi="Bodoni MT Black"/>
      <w:smallCaps/>
      <w:sz w:val="40"/>
      <w:szCs w:val="40"/>
    </w:rPr>
  </w:style>
  <w:style w:type="table" w:styleId="TableGrid">
    <w:name w:val="Table Grid"/>
    <w:basedOn w:val="TableNormal"/>
    <w:uiPriority w:val="59"/>
    <w:rsid w:val="00CC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36E"/>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paragraph" w:styleId="Subtitle">
    <w:name w:val="Subtitle"/>
    <w:basedOn w:val="Normal"/>
    <w:next w:val="Normal"/>
    <w:link w:val="SubtitleChar"/>
    <w:uiPriority w:val="11"/>
    <w:qFormat/>
    <w:rsid w:val="00AB1626"/>
    <w:pPr>
      <w:jc w:val="center"/>
    </w:pPr>
    <w:rPr>
      <w:rFonts w:ascii="Bodoni MT Black" w:hAnsi="Bodoni MT Black"/>
      <w:smallCaps/>
      <w:sz w:val="40"/>
      <w:szCs w:val="40"/>
    </w:rPr>
  </w:style>
  <w:style w:type="character" w:customStyle="1" w:styleId="SubtitleChar">
    <w:name w:val="Subtitle Char"/>
    <w:basedOn w:val="DefaultParagraphFont"/>
    <w:link w:val="Subtitle"/>
    <w:uiPriority w:val="11"/>
    <w:rsid w:val="00AB1626"/>
    <w:rPr>
      <w:rFonts w:ascii="Bodoni MT Black" w:hAnsi="Bodoni MT Black"/>
      <w:smallCaps/>
      <w:sz w:val="40"/>
      <w:szCs w:val="40"/>
    </w:rPr>
  </w:style>
  <w:style w:type="table" w:styleId="TableGrid">
    <w:name w:val="Table Grid"/>
    <w:basedOn w:val="TableNormal"/>
    <w:uiPriority w:val="59"/>
    <w:rsid w:val="00CC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1024870016">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1c3/" TargetMode="External"/><Relationship Id="rId18" Type="http://schemas.openxmlformats.org/officeDocument/2006/relationships/hyperlink" Target="http://www.CAEQR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caeqro.com/webx/.ee85675/" TargetMode="External"/><Relationship Id="rId17" Type="http://schemas.openxmlformats.org/officeDocument/2006/relationships/hyperlink" Target="http://caeqro.com/webx/.ee8567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noma-county.org/health/meetings/mhboard.as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Notebook@cmhpc.ca.gov" TargetMode="External"/><Relationship Id="rId24" Type="http://schemas.openxmlformats.org/officeDocument/2006/relationships/hyperlink" Target="mailto:DataNotebook@CMHPC.CA.GOV" TargetMode="External"/><Relationship Id="rId5" Type="http://schemas.openxmlformats.org/officeDocument/2006/relationships/settings" Target="settings.xml"/><Relationship Id="rId15" Type="http://schemas.openxmlformats.org/officeDocument/2006/relationships/hyperlink" Target="http://www.sonoma-county.org/health/publications/index.asp"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noma-county.org/health/about/behavioralhealth.asp"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7DB1-018F-4B4D-920B-CE5B1670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5704</Words>
  <Characters>32514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2</cp:revision>
  <cp:lastPrinted>2014-03-14T02:16:00Z</cp:lastPrinted>
  <dcterms:created xsi:type="dcterms:W3CDTF">2015-04-20T20:44:00Z</dcterms:created>
  <dcterms:modified xsi:type="dcterms:W3CDTF">2015-04-20T20:44:00Z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