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C64947" w:rsidP="00C43A43">
      <w:pPr>
        <w:pStyle w:val="Title"/>
      </w:pPr>
      <w:r>
        <w:t>Santa Barbara</w:t>
      </w:r>
      <w:r w:rsidR="00601364">
        <w:t xml:space="preserve"> </w:t>
      </w:r>
      <w:r w:rsidR="004D2317">
        <w:t>C</w:t>
      </w:r>
      <w:r>
        <w:t xml:space="preserve">ounty: Data Notebook </w:t>
      </w:r>
      <w:r w:rsidR="005B3EAA">
        <w:t>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bookmarkStart w:id="0" w:name="_GoBack"/>
      <w:bookmarkEnd w:id="0"/>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F86FBF"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C64947" w:rsidRDefault="00C64947" w:rsidP="00C64947">
      <w:pPr>
        <w:pStyle w:val="Title"/>
      </w:pPr>
      <w:r>
        <w:lastRenderedPageBreak/>
        <w:t>Santa Barbara</w:t>
      </w:r>
      <w:r w:rsidR="003644DB">
        <w:t xml:space="preserve"> County:  Data Notebook 2014</w:t>
      </w:r>
      <w:r w:rsidR="003644DB" w:rsidRPr="009C5BDA">
        <w:t xml:space="preserve"> </w:t>
      </w:r>
      <w:r w:rsidR="003644DB">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Default="003644DB" w:rsidP="003644DB">
      <w:r w:rsidRPr="00A9360B">
        <w:t xml:space="preserve">County Name:  </w:t>
      </w:r>
      <w:r w:rsidR="00C64947">
        <w:rPr>
          <w:b/>
          <w:sz w:val="28"/>
          <w:szCs w:val="28"/>
        </w:rPr>
        <w:t>Santa Barbara</w:t>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C64947" w:rsidRPr="00C64947">
        <w:rPr>
          <w:color w:val="000000"/>
        </w:rPr>
        <w:t>432,238</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________________________________________________________________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________________________________________________________________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________________________________________________________________</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C64947">
        <w:t>104,108</w:t>
      </w:r>
    </w:p>
    <w:p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p>
    <w:p w:rsidR="003644DB" w:rsidRPr="00A9360B" w:rsidRDefault="003644DB" w:rsidP="003644DB">
      <w:r>
        <w:tab/>
        <w:t xml:space="preserve">Percent of </w:t>
      </w:r>
      <w:proofErr w:type="spellStart"/>
      <w:r>
        <w:t>Medi</w:t>
      </w:r>
      <w:proofErr w:type="spellEnd"/>
      <w:r>
        <w:t>-Cal eligible persons who were:</w:t>
      </w:r>
      <w:r w:rsidR="00C64947">
        <w:t xml:space="preserve">  85,332</w:t>
      </w:r>
    </w:p>
    <w:p w:rsidR="003644DB" w:rsidRDefault="003644DB" w:rsidP="003644DB">
      <w:r>
        <w:tab/>
      </w:r>
      <w:r>
        <w:tab/>
        <w:t xml:space="preserve">Children, ages 0-17:  </w:t>
      </w:r>
      <w:r w:rsidR="00792486">
        <w:t xml:space="preserve">50.6 </w:t>
      </w:r>
      <w:r>
        <w:t>%</w:t>
      </w:r>
    </w:p>
    <w:p w:rsidR="003644DB" w:rsidRDefault="003644DB" w:rsidP="003644DB">
      <w:pPr>
        <w:ind w:left="720" w:firstLine="720"/>
      </w:pPr>
      <w:r>
        <w:t xml:space="preserve">Adults, ages 18-59:  </w:t>
      </w:r>
      <w:r w:rsidR="00792486">
        <w:t xml:space="preserve">38.8 </w:t>
      </w:r>
      <w:r>
        <w:t>%</w:t>
      </w:r>
    </w:p>
    <w:p w:rsidR="003644DB" w:rsidRDefault="003644DB" w:rsidP="003644DB">
      <w:pPr>
        <w:ind w:left="720" w:firstLine="720"/>
        <w:rPr>
          <w:u w:val="single"/>
        </w:rPr>
      </w:pPr>
      <w:r>
        <w:t xml:space="preserve">Adults, Ages 60 and Over:  </w:t>
      </w:r>
      <w:r w:rsidR="00792486">
        <w:t xml:space="preserve">10.6 </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p>
    <w:p w:rsidR="003644DB" w:rsidRDefault="003644DB" w:rsidP="003644DB">
      <w:r w:rsidRPr="00A9360B">
        <w:tab/>
      </w:r>
      <w:r>
        <w:t>Percent of Specialty MH service recipients who were:</w:t>
      </w:r>
      <w:r w:rsidR="00C64947">
        <w:t xml:space="preserve">  4,880</w:t>
      </w:r>
    </w:p>
    <w:p w:rsidR="003644DB" w:rsidRDefault="003644DB" w:rsidP="003644DB">
      <w:pPr>
        <w:ind w:left="720" w:firstLine="720"/>
      </w:pPr>
      <w:r>
        <w:t>Children 0-17</w:t>
      </w:r>
      <w:r w:rsidRPr="00A9360B">
        <w:t>:</w:t>
      </w:r>
      <w:r>
        <w:t xml:space="preserve"> </w:t>
      </w:r>
      <w:r w:rsidRPr="00A9360B">
        <w:t xml:space="preserve"> </w:t>
      </w:r>
      <w:r w:rsidR="00792486">
        <w:t xml:space="preserve">42.0 </w:t>
      </w:r>
      <w:r>
        <w:t>%</w:t>
      </w:r>
    </w:p>
    <w:p w:rsidR="003644DB" w:rsidRDefault="003644DB" w:rsidP="003644DB">
      <w:pPr>
        <w:ind w:left="720" w:firstLine="720"/>
      </w:pPr>
      <w:r w:rsidRPr="00A9360B">
        <w:t xml:space="preserve">Adults 18-59: </w:t>
      </w:r>
      <w:r w:rsidR="003A0022">
        <w:t xml:space="preserve"> </w:t>
      </w:r>
      <w:r w:rsidR="00792486">
        <w:t xml:space="preserve">48.9 </w:t>
      </w:r>
      <w:r>
        <w:t>%</w:t>
      </w:r>
    </w:p>
    <w:p w:rsidR="00CB31BC" w:rsidRDefault="003644DB" w:rsidP="006867F9">
      <w:pPr>
        <w:ind w:left="720" w:firstLine="720"/>
      </w:pPr>
      <w:r w:rsidRPr="00A9360B">
        <w:t xml:space="preserve">Adults 60 and Over: </w:t>
      </w:r>
      <w:r w:rsidR="003A0022">
        <w:t xml:space="preserve"> </w:t>
      </w:r>
      <w:r w:rsidR="00792486">
        <w:t xml:space="preserve">9.1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792486" w:rsidP="00464DC8">
      <w:pPr>
        <w:pStyle w:val="ListParagraph"/>
        <w:numPr>
          <w:ilvl w:val="0"/>
          <w:numId w:val="24"/>
        </w:numPr>
      </w:pPr>
      <w:r>
        <w:t>examine</w:t>
      </w:r>
      <w:r w:rsidR="00E50DE2">
        <w:t xml:space="preserve"> 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792486"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w:t>
      </w:r>
      <w:r w:rsidR="00A62A85">
        <w:rPr>
          <w:rFonts w:eastAsia="Times New Roman"/>
          <w:color w:val="000000"/>
        </w:rPr>
        <w:t>X</w:t>
      </w:r>
      <w:r w:rsidRPr="00C43A43">
        <w:rPr>
          <w:rFonts w:eastAsia="Times New Roman"/>
          <w:color w:val="000000"/>
        </w:rPr>
        <w:t>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C91363" w:rsidRPr="00C43A43" w:rsidRDefault="00360F23" w:rsidP="00C43A43">
      <w:pPr>
        <w:shd w:val="clear" w:color="auto" w:fill="FFFFFF"/>
        <w:rPr>
          <w:rFonts w:eastAsia="Times New Roman"/>
          <w:color w:val="000000"/>
        </w:rPr>
      </w:pPr>
      <w:r>
        <w:rPr>
          <w:rFonts w:eastAsia="Times New Roman"/>
          <w:color w:val="000000"/>
        </w:rPr>
        <w:t xml:space="preserve">Currently, there are efforts to develop a data base that can allow us to track clients who are </w:t>
      </w:r>
      <w:r w:rsidR="002347A6">
        <w:rPr>
          <w:rFonts w:eastAsia="Times New Roman"/>
          <w:color w:val="000000"/>
        </w:rPr>
        <w:t xml:space="preserve">receiving Public Health and Alcohol Drug Mental Health Services.  Integration efforts, once implemented, will also improve communication and will lead to improved physical health and mental health care.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r w:rsidRPr="00C43A43">
        <w:rPr>
          <w:rFonts w:eastAsia="Times New Roman"/>
          <w:color w:val="000000"/>
        </w:rPr>
        <w:br w:type="page"/>
      </w:r>
    </w:p>
    <w:p w:rsidR="009F0215" w:rsidRDefault="009F0215" w:rsidP="001C4A7D">
      <w:pPr>
        <w:pStyle w:val="Heading4"/>
      </w:pPr>
      <w:r>
        <w:lastRenderedPageBreak/>
        <w:t xml:space="preserve">At this time some of these items are addressed on a case by case basis by each assessor or team.  However, a more comprehensive and standardized process is part of our eventual integration objective.  </w:t>
      </w:r>
    </w:p>
    <w:p w:rsidR="00923210" w:rsidRPr="00923210" w:rsidRDefault="00923210" w:rsidP="00923210"/>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923210" w:rsidRPr="00C43A43" w:rsidRDefault="00923210" w:rsidP="00C43A43">
      <w:pPr>
        <w:shd w:val="clear" w:color="auto" w:fill="FFFFFF"/>
        <w:rPr>
          <w:rFonts w:eastAsia="Times New Roman"/>
          <w:color w:val="000000"/>
        </w:rPr>
      </w:pPr>
    </w:p>
    <w:p w:rsid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r w:rsidR="00360F23">
        <w:rPr>
          <w:rFonts w:eastAsia="Times New Roman"/>
          <w:b/>
          <w:color w:val="000000"/>
        </w:rPr>
        <w:t xml:space="preserve">  </w:t>
      </w:r>
    </w:p>
    <w:p w:rsidR="00923210" w:rsidRDefault="00923210" w:rsidP="00C43A43">
      <w:pPr>
        <w:shd w:val="clear" w:color="auto" w:fill="FFFFFF"/>
        <w:rPr>
          <w:rFonts w:eastAsia="Times New Roman"/>
          <w:b/>
          <w:color w:val="000000"/>
        </w:rPr>
      </w:pPr>
    </w:p>
    <w:p w:rsidR="00C43A43" w:rsidRDefault="00360F23" w:rsidP="00C43A43">
      <w:pPr>
        <w:shd w:val="clear" w:color="auto" w:fill="FFFFFF"/>
        <w:rPr>
          <w:rFonts w:eastAsia="Times New Roman"/>
          <w:color w:val="000000"/>
        </w:rPr>
      </w:pPr>
      <w:r w:rsidRPr="00360F23">
        <w:rPr>
          <w:rFonts w:eastAsia="Times New Roman"/>
          <w:color w:val="000000"/>
        </w:rPr>
        <w:t xml:space="preserve">New clients are defined as clients who have not had an open episode with in a two year period.  </w:t>
      </w:r>
    </w:p>
    <w:p w:rsidR="00923210" w:rsidRPr="00360F23" w:rsidRDefault="00923210" w:rsidP="00C43A43">
      <w:pPr>
        <w:shd w:val="clear" w:color="auto" w:fill="FFFFFF"/>
        <w:rPr>
          <w:rFonts w:eastAsia="Times New Roman"/>
          <w:color w:val="000000"/>
        </w:rPr>
      </w:pPr>
    </w:p>
    <w:p w:rsidR="00C43A43"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8D6F52" w:rsidRPr="003755D4" w:rsidRDefault="008D6F52" w:rsidP="00C43A43">
      <w:pPr>
        <w:shd w:val="clear" w:color="auto" w:fill="FFFFFF"/>
        <w:rPr>
          <w:rFonts w:eastAsia="Times New Roman"/>
          <w:b/>
          <w:color w:val="000000"/>
        </w:rPr>
      </w:pPr>
    </w:p>
    <w:p w:rsidR="008D6F52" w:rsidRPr="008D6F52" w:rsidRDefault="008D6F52" w:rsidP="008D6F52">
      <w:pPr>
        <w:shd w:val="clear" w:color="auto" w:fill="FFFFFF"/>
        <w:ind w:firstLine="720"/>
        <w:rPr>
          <w:rFonts w:eastAsia="Times New Roman"/>
          <w:color w:val="000000"/>
        </w:rPr>
      </w:pPr>
      <w:r>
        <w:rPr>
          <w:rFonts w:eastAsia="Times New Roman"/>
          <w:color w:val="000000"/>
        </w:rPr>
        <w:lastRenderedPageBreak/>
        <w:t>P</w:t>
      </w:r>
      <w:r w:rsidRPr="008D6F52">
        <w:rPr>
          <w:rFonts w:eastAsia="Times New Roman"/>
          <w:color w:val="000000"/>
        </w:rPr>
        <w:t xml:space="preserve">eriod                               </w:t>
      </w:r>
      <w:r>
        <w:rPr>
          <w:rFonts w:eastAsia="Times New Roman"/>
          <w:color w:val="000000"/>
        </w:rPr>
        <w:t xml:space="preserve">       Unique Consumers</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12/13                     Total                2,211</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12/13         Age 17 or Younger      1175</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12/13         Age 18 to 59                905</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12/13         Age 60 and Older        118</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12/13         Age Missing                14</w:t>
      </w:r>
    </w:p>
    <w:p w:rsidR="008D6F52" w:rsidRPr="008D6F52" w:rsidRDefault="008D6F52" w:rsidP="00923210">
      <w:pPr>
        <w:shd w:val="clear" w:color="auto" w:fill="FFFFFF"/>
        <w:rPr>
          <w:rFonts w:eastAsia="Times New Roman"/>
          <w:color w:val="000000"/>
        </w:rPr>
      </w:pP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13/14                     Total                2,127</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13/14         Age 17 or Younger      1055</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13/14         Age 18 to 59                931</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13/14         Age 60 and Older        118</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FY 13/14         Age Missing                24</w:t>
      </w:r>
    </w:p>
    <w:p w:rsidR="008D6F52" w:rsidRDefault="008D6F52" w:rsidP="008D6F52">
      <w:pPr>
        <w:shd w:val="clear" w:color="auto" w:fill="FFFFFF"/>
        <w:rPr>
          <w:rFonts w:eastAsia="Times New Roman"/>
          <w:color w:val="000000"/>
        </w:rPr>
      </w:pPr>
    </w:p>
    <w:p w:rsidR="008D6F52" w:rsidRPr="008D6F52" w:rsidRDefault="008D6F52" w:rsidP="00923210">
      <w:pPr>
        <w:shd w:val="clear" w:color="auto" w:fill="FFFFFF"/>
        <w:rPr>
          <w:rFonts w:eastAsia="Times New Roman"/>
          <w:color w:val="000000"/>
        </w:rPr>
      </w:pPr>
      <w:r w:rsidRPr="008D6F52">
        <w:rPr>
          <w:rFonts w:eastAsia="Times New Roman"/>
          <w:color w:val="000000"/>
        </w:rPr>
        <w:t xml:space="preserve"> Readmissions within 365 days: </w:t>
      </w:r>
    </w:p>
    <w:p w:rsidR="008D6F52" w:rsidRPr="008D6F52" w:rsidRDefault="008D6F52" w:rsidP="008D6F52">
      <w:pPr>
        <w:shd w:val="clear" w:color="auto" w:fill="FFFFFF"/>
        <w:ind w:firstLine="720"/>
        <w:rPr>
          <w:rFonts w:eastAsia="Times New Roman"/>
          <w:color w:val="000000"/>
        </w:rPr>
      </w:pPr>
      <w:r>
        <w:rPr>
          <w:rFonts w:eastAsia="Times New Roman"/>
          <w:color w:val="000000"/>
        </w:rPr>
        <w:t>P</w:t>
      </w:r>
      <w:r w:rsidRPr="008D6F52">
        <w:rPr>
          <w:rFonts w:eastAsia="Times New Roman"/>
          <w:color w:val="000000"/>
        </w:rPr>
        <w:t xml:space="preserve">eriod                        </w:t>
      </w:r>
      <w:r>
        <w:rPr>
          <w:rFonts w:eastAsia="Times New Roman"/>
          <w:color w:val="000000"/>
        </w:rPr>
        <w:t xml:space="preserve">              Unique Consumers</w:t>
      </w:r>
    </w:p>
    <w:p w:rsidR="008D6F52" w:rsidRPr="008D6F52" w:rsidRDefault="008D6F52" w:rsidP="00923210">
      <w:pPr>
        <w:shd w:val="clear" w:color="auto" w:fill="FFFFFF"/>
        <w:ind w:firstLine="720"/>
        <w:rPr>
          <w:rFonts w:eastAsia="Times New Roman"/>
          <w:color w:val="000000"/>
        </w:rPr>
      </w:pPr>
      <w:r w:rsidRPr="008D6F52">
        <w:rPr>
          <w:rFonts w:eastAsia="Times New Roman"/>
          <w:color w:val="000000"/>
        </w:rPr>
        <w:t>------------------------------------------------------------------------------</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11/12                     Total                408      </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11/12         Age 17 or Younger      220      </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11/12         Age 18 to 59                176      </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11/12         Age 60 and Older        12        </w:t>
      </w:r>
    </w:p>
    <w:p w:rsidR="008D6F52" w:rsidRPr="008D6F52" w:rsidRDefault="008D6F52" w:rsidP="008D6F52">
      <w:pPr>
        <w:shd w:val="clear" w:color="auto" w:fill="FFFFFF"/>
        <w:ind w:firstLine="720"/>
        <w:rPr>
          <w:rFonts w:eastAsia="Times New Roman"/>
          <w:color w:val="000000"/>
        </w:rPr>
      </w:pP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12/13                     Total                422      </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12/13         Age 17 or Younger      232      </w:t>
      </w:r>
    </w:p>
    <w:p w:rsidR="008D6F52" w:rsidRPr="008D6F52" w:rsidRDefault="008D6F52" w:rsidP="008D6F52">
      <w:pPr>
        <w:shd w:val="clear" w:color="auto" w:fill="FFFFFF"/>
        <w:ind w:firstLine="720"/>
        <w:rPr>
          <w:rFonts w:eastAsia="Times New Roman"/>
          <w:color w:val="000000"/>
        </w:rPr>
      </w:pPr>
      <w:r w:rsidRPr="008D6F52">
        <w:rPr>
          <w:rFonts w:eastAsia="Times New Roman"/>
          <w:color w:val="000000"/>
        </w:rPr>
        <w:t xml:space="preserve">FY 12/13         Age 18 to 59                170      </w:t>
      </w:r>
    </w:p>
    <w:p w:rsidR="00923210" w:rsidRDefault="008D6F52" w:rsidP="00923210">
      <w:pPr>
        <w:shd w:val="clear" w:color="auto" w:fill="FFFFFF"/>
        <w:ind w:firstLine="720"/>
        <w:rPr>
          <w:rFonts w:eastAsia="Times New Roman"/>
          <w:color w:val="000000"/>
        </w:rPr>
      </w:pPr>
      <w:r w:rsidRPr="008D6F52">
        <w:rPr>
          <w:rFonts w:eastAsia="Times New Roman"/>
          <w:color w:val="000000"/>
        </w:rPr>
        <w:t>FY 12/13         Age 60 and Older        20</w:t>
      </w:r>
    </w:p>
    <w:p w:rsidR="00C43A43" w:rsidRPr="00C43A43" w:rsidRDefault="00C43A43" w:rsidP="00923210">
      <w:pPr>
        <w:shd w:val="clear" w:color="auto" w:fill="FFFFFF"/>
        <w:rPr>
          <w:rFonts w:eastAsia="Times New Roman"/>
          <w:color w:val="000000"/>
        </w:rPr>
      </w:pP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2C1F27">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2C1F27">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CD4B6A" w:rsidRDefault="00792486" w:rsidP="00C43A43">
      <w:pPr>
        <w:shd w:val="clear" w:color="auto" w:fill="FFFFFF"/>
        <w:rPr>
          <w:rFonts w:eastAsia="Times New Roman"/>
          <w:color w:val="000000"/>
        </w:rPr>
      </w:pPr>
      <w:r>
        <w:rPr>
          <w:rFonts w:eastAsia="Times New Roman"/>
          <w:b/>
          <w:color w:val="000000"/>
        </w:rPr>
        <w:t>Santa Barbara</w:t>
      </w:r>
      <w:r w:rsidR="00CD4B6A" w:rsidRPr="00CD4B6A">
        <w:rPr>
          <w:rFonts w:eastAsia="Times New Roman"/>
          <w:b/>
          <w:color w:val="000000"/>
        </w:rPr>
        <w:t xml:space="preserve"> County</w:t>
      </w:r>
      <w:r w:rsidR="00CD4B6A">
        <w:rPr>
          <w:rFonts w:eastAsia="Times New Roman"/>
          <w:color w:val="000000"/>
        </w:rPr>
        <w:t>:</w:t>
      </w:r>
    </w:p>
    <w:p w:rsidR="00792486" w:rsidRPr="00C43A43" w:rsidRDefault="00792486" w:rsidP="00C43A43">
      <w:pPr>
        <w:shd w:val="clear" w:color="auto" w:fill="FFFFFF"/>
        <w:rPr>
          <w:rFonts w:eastAsia="Times New Roman"/>
          <w:color w:val="000000"/>
        </w:rPr>
      </w:pPr>
      <w:r>
        <w:rPr>
          <w:noProof/>
        </w:rPr>
        <w:drawing>
          <wp:inline distT="0" distB="0" distL="0" distR="0" wp14:anchorId="7FFE88FD" wp14:editId="6D2DED0A">
            <wp:extent cx="6047445" cy="467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49263" cy="4678181"/>
                    </a:xfrm>
                    <a:prstGeom prst="rect">
                      <a:avLst/>
                    </a:prstGeom>
                  </pic:spPr>
                </pic:pic>
              </a:graphicData>
            </a:graphic>
          </wp:inline>
        </w:drawing>
      </w:r>
    </w:p>
    <w:p w:rsidR="00CD4B6A" w:rsidRPr="00C43A43" w:rsidRDefault="00CD4B6A" w:rsidP="00C43A43">
      <w:pPr>
        <w:shd w:val="clear" w:color="auto" w:fill="FFFFFF"/>
        <w:rPr>
          <w:rFonts w:eastAsia="Times New Roman"/>
          <w:color w:val="000000"/>
        </w:rPr>
      </w:pP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rsidR="00C43A43" w:rsidRDefault="00DF0E41" w:rsidP="00C43A43">
      <w:r>
        <w:t>The superior performance at outpatient follow-up is not consistent with sub-average performance on readmission. We believe these data reflect a measure of how quickly an outpatient transaction is entered.  These data only show how quickly a billable outpatient service is recorded and does not necessarily indicate timely follow-up.</w:t>
      </w:r>
    </w:p>
    <w:p w:rsidR="00923210" w:rsidRPr="00C43A43" w:rsidRDefault="00923210" w:rsidP="00C43A43"/>
    <w:p w:rsidR="00C43A43" w:rsidRDefault="00C43A43" w:rsidP="00C43A43">
      <w:pPr>
        <w:rPr>
          <w:b/>
        </w:rPr>
      </w:pPr>
      <w:r w:rsidRPr="00C43A43">
        <w:rPr>
          <w:b/>
        </w:rPr>
        <w:t>7.  Do you have any suggestions on how your county can improve follow-up and reduce re-hospitalizations?</w:t>
      </w:r>
    </w:p>
    <w:p w:rsidR="00C43A43" w:rsidRDefault="002347A6" w:rsidP="00C43A43">
      <w:r>
        <w:t xml:space="preserve">ADMHS applied for and received funding to implement Crisis Triage and Crisis Residential Services via the SB 82 Grant.  The implementation of these programs, as well as others including Mobile Crisis, Crisis Stabilization, and Respite, will allow our system to provide the appropriate level of follow up for individuals who have been hospitalized.  These programs and services will also reduce the follow up time, which will considerably reduce the re-hospitalization rate.  </w:t>
      </w:r>
    </w:p>
    <w:p w:rsidR="00923210" w:rsidRPr="00C43A43" w:rsidRDefault="00923210"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9F0215"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9F0215" w:rsidRDefault="009F0215" w:rsidP="009F0215">
      <w:pPr>
        <w:spacing w:after="0" w:line="240" w:lineRule="auto"/>
        <w:ind w:left="360"/>
      </w:pPr>
    </w:p>
    <w:p w:rsidR="009F0215" w:rsidRDefault="009F0215" w:rsidP="009F0215">
      <w:pPr>
        <w:spacing w:after="0" w:line="240" w:lineRule="auto"/>
        <w:ind w:left="360"/>
      </w:pPr>
    </w:p>
    <w:p w:rsidR="004F19A8" w:rsidRDefault="009F0215" w:rsidP="009F0215">
      <w:pPr>
        <w:spacing w:after="0" w:line="240" w:lineRule="auto"/>
      </w:pPr>
      <w:r>
        <w:t>The items on this list represent major barriers to our client population. We find it difficult to prioritize these items because the priorities ma</w:t>
      </w:r>
      <w:r w:rsidR="004F19A8">
        <w:t xml:space="preserve">y vary by ethnic population, </w:t>
      </w:r>
      <w:r>
        <w:t>their particular circumstances</w:t>
      </w:r>
      <w:r w:rsidR="004F19A8">
        <w:t>,</w:t>
      </w:r>
      <w:r>
        <w:t xml:space="preserve"> and specific</w:t>
      </w:r>
      <w:r w:rsidR="004F19A8">
        <w:t xml:space="preserve"> cultural or linguistic needs.  Additionally, some items service barriers to all populations, such as hours of operation and psychiatric access. Others items, such as language and transportation, are barriers to specific ethnic and homeless populations.  </w:t>
      </w:r>
    </w:p>
    <w:p w:rsidR="004F19A8" w:rsidRDefault="004F19A8" w:rsidP="009F0215">
      <w:pPr>
        <w:spacing w:after="0" w:line="240" w:lineRule="auto"/>
      </w:pPr>
    </w:p>
    <w:p w:rsidR="009F0215" w:rsidRPr="009F0215" w:rsidRDefault="004F19A8" w:rsidP="009F0215">
      <w:pPr>
        <w:spacing w:after="0" w:line="240" w:lineRule="auto"/>
        <w:rPr>
          <w:b/>
        </w:rPr>
      </w:pPr>
      <w:r>
        <w:t xml:space="preserve">It is also important to clarify that our system has developed initiatives to address many of these barriers through the use of transportation services, access to interpreters, and improving our wait times and access to psychiatric care.   </w:t>
      </w:r>
      <w:r w:rsidR="009F0215">
        <w:t xml:space="preserve"> </w:t>
      </w:r>
    </w:p>
    <w:p w:rsidR="009F0215" w:rsidRPr="00C43A43" w:rsidRDefault="009F0215" w:rsidP="00C43A43"/>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Default="00792486" w:rsidP="00C43A43">
      <w:r>
        <w:rPr>
          <w:b/>
        </w:rPr>
        <w:t>Santa Barbara County</w:t>
      </w:r>
      <w:r w:rsidR="00C26531">
        <w:t>:</w:t>
      </w:r>
    </w:p>
    <w:p w:rsidR="00792486" w:rsidRPr="00792486" w:rsidRDefault="00792486">
      <w:r>
        <w:rPr>
          <w:noProof/>
        </w:rPr>
        <w:drawing>
          <wp:inline distT="0" distB="0" distL="0" distR="0" wp14:anchorId="3676890A" wp14:editId="0DE45815">
            <wp:extent cx="4133850" cy="5495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36993" cy="5500047"/>
                    </a:xfrm>
                    <a:prstGeom prst="rect">
                      <a:avLst/>
                    </a:prstGeom>
                  </pic:spPr>
                </pic:pic>
              </a:graphicData>
            </a:graphic>
          </wp:inline>
        </w:drawing>
      </w:r>
      <w:r>
        <w:rPr>
          <w:b/>
        </w:rPr>
        <w:br w:type="page"/>
      </w:r>
    </w:p>
    <w:p w:rsidR="00C43A43" w:rsidRPr="00C43A43" w:rsidRDefault="00C43A43" w:rsidP="00C43A43">
      <w:pPr>
        <w:rPr>
          <w:b/>
        </w:rPr>
      </w:pPr>
      <w:r w:rsidRPr="00C43A43">
        <w:rPr>
          <w:b/>
        </w:rPr>
        <w:lastRenderedPageBreak/>
        <w:t xml:space="preserve">9.  Is there a big difference between the race/ethnicity </w:t>
      </w:r>
      <w:proofErr w:type="gramStart"/>
      <w:r w:rsidRPr="00C43A43">
        <w:rPr>
          <w:b/>
        </w:rPr>
        <w:t>breakdown</w:t>
      </w:r>
      <w:proofErr w:type="gramEnd"/>
      <w:r w:rsidRPr="00C43A43">
        <w:rPr>
          <w:b/>
        </w:rPr>
        <w:t xml:space="preserve"> on the two </w:t>
      </w:r>
      <w:commentRangeStart w:id="1"/>
      <w:r w:rsidRPr="00C43A43">
        <w:rPr>
          <w:b/>
        </w:rPr>
        <w:t>charts</w:t>
      </w:r>
      <w:commentRangeEnd w:id="1"/>
      <w:r w:rsidR="00DF0E41">
        <w:rPr>
          <w:rStyle w:val="CommentReference"/>
        </w:rPr>
        <w:commentReference w:id="1"/>
      </w:r>
      <w:r w:rsidRPr="00C43A43">
        <w:rPr>
          <w:b/>
        </w:rPr>
        <w:t xml:space="preserve">?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rsidR="00C43A43" w:rsidRDefault="00CE33F9" w:rsidP="00C43A43">
      <w:r>
        <w:t xml:space="preserve">Our efforts in increasing access for underrepresented populations have improved due to our focus on improving our workforce capacity in terms of diversity, language capabilities, and outreach efforts.  Despite these efforts, there are improvements that need to be made to ensure that we address the needs of all diverse populations in our county. </w:t>
      </w:r>
    </w:p>
    <w:p w:rsidR="00C43A43" w:rsidRDefault="00CE33F9" w:rsidP="00C43A43">
      <w:r>
        <w:t xml:space="preserve">Although the charts above shows a 20.44% difference between eligible clients and clients served, it is important to point out that these figures only represent </w:t>
      </w:r>
      <w:proofErr w:type="spellStart"/>
      <w:r>
        <w:t>Medi</w:t>
      </w:r>
      <w:proofErr w:type="spellEnd"/>
      <w:r>
        <w:t xml:space="preserve">-Cal clients and may not be an accurate representation of the total populations served by our system.  </w:t>
      </w:r>
      <w:r w:rsidR="00F83EEA">
        <w:t xml:space="preserve">Specifically, not represented is the diversity of the uninsured client population.  </w:t>
      </w:r>
    </w:p>
    <w:p w:rsidR="00923210" w:rsidRPr="00C43A43" w:rsidRDefault="00923210" w:rsidP="00C43A43"/>
    <w:p w:rsidR="00C43A43" w:rsidRPr="00C43A43" w:rsidRDefault="00C43A43" w:rsidP="00C43A43">
      <w:pPr>
        <w:rPr>
          <w:b/>
        </w:rPr>
      </w:pPr>
      <w:r w:rsidRPr="00C43A43">
        <w:rPr>
          <w:b/>
        </w:rPr>
        <w:t>10.  What outreach efforts are being made to reach minority groups in your community?</w:t>
      </w:r>
    </w:p>
    <w:p w:rsidR="00C43A43" w:rsidRPr="00A62A85" w:rsidRDefault="009B6052" w:rsidP="00C43A43">
      <w:r w:rsidRPr="00A62A85">
        <w:t>Outrea</w:t>
      </w:r>
      <w:r w:rsidR="008949EC" w:rsidRPr="00A62A85">
        <w:t xml:space="preserve">ch efforts through peer staff, </w:t>
      </w:r>
      <w:proofErr w:type="spellStart"/>
      <w:r w:rsidR="008949EC" w:rsidRPr="00A62A85">
        <w:t>P</w:t>
      </w:r>
      <w:r w:rsidRPr="00A62A85">
        <w:t>romotores</w:t>
      </w:r>
      <w:proofErr w:type="spellEnd"/>
      <w:r w:rsidRPr="00A62A85">
        <w:t xml:space="preserve">, and via the Latino Advisory Committee have targeted underrepresented populations including Native Communities, </w:t>
      </w:r>
      <w:r w:rsidR="008949EC" w:rsidRPr="00A62A85">
        <w:t>Indigenous</w:t>
      </w:r>
      <w:r w:rsidRPr="00A62A85">
        <w:t xml:space="preserve"> Latino populations, Spanish Speaking Populations, and LGBTQ populations.  </w:t>
      </w:r>
    </w:p>
    <w:p w:rsidR="008949EC" w:rsidRDefault="009B6052" w:rsidP="00C43A43">
      <w:r w:rsidRPr="00A62A85">
        <w:t xml:space="preserve">Additional efforts also include the work conducted by the Cultural Competency Action Team, the Spirituality Action Team, and via our Cultural Competency Manager.  These teams have initiated efforts to address increased involvement of the faith based community, improving our partnership with African American Community Leaders, and </w:t>
      </w:r>
      <w:r w:rsidR="00C2429A" w:rsidRPr="00A62A85">
        <w:t xml:space="preserve">improving our internal protocols and processes that improve access and quality of care for diverse populations. </w:t>
      </w:r>
    </w:p>
    <w:p w:rsidR="00923210" w:rsidRPr="00A62A85" w:rsidRDefault="00923210" w:rsidP="00C43A43"/>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C2429A" w:rsidP="00C43A43">
      <w:r>
        <w:t xml:space="preserve">One of the major lessons learned from our process in Santa Barbara is the critical importance of a diverse workforce with cultural and linguistic capabilities in conjunction with outreach efforts.  </w:t>
      </w:r>
    </w:p>
    <w:p w:rsidR="00C43A43" w:rsidRPr="00C43A43" w:rsidRDefault="00C43A43" w:rsidP="00C43A43"/>
    <w:p w:rsidR="00C43A43" w:rsidRDefault="00C43A43" w:rsidP="00C43A43"/>
    <w:p w:rsidR="008949EC" w:rsidRPr="00C43A43" w:rsidRDefault="008949EC" w:rsidP="00C43A43"/>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792486" w:rsidRPr="00C43A43" w:rsidRDefault="00792486" w:rsidP="00C43A43"/>
    <w:p w:rsidR="00C26531" w:rsidRPr="00C43A43" w:rsidRDefault="00792486" w:rsidP="00C43A43">
      <w:r>
        <w:rPr>
          <w:noProof/>
        </w:rPr>
        <w:drawing>
          <wp:inline distT="0" distB="0" distL="0" distR="0" wp14:anchorId="53FD495B" wp14:editId="4C388C5C">
            <wp:extent cx="59436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90850"/>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lastRenderedPageBreak/>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rsidR="00C43A43" w:rsidRPr="00C43A43" w:rsidRDefault="00DF0E41" w:rsidP="00C43A43">
      <w:r>
        <w:t>The current data indicates substantial engagement of clients in the over 15 service area.  Similarly 5-15 is above the state average.  However, there are no current efforts to re-engage clients who leave service after brief services.</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DF0E41" w:rsidP="00C43A43">
      <w:r>
        <w:t>See above.</w:t>
      </w:r>
    </w:p>
    <w:p w:rsidR="00C43A43" w:rsidRPr="00C43A43" w:rsidRDefault="00C43A43" w:rsidP="00C43A43"/>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Default="00C2429A" w:rsidP="00C43A43">
      <w:r>
        <w:t xml:space="preserve">Again, </w:t>
      </w:r>
      <w:r w:rsidR="0040228C">
        <w:t xml:space="preserve">diversity of staff, </w:t>
      </w:r>
      <w:r>
        <w:t>the outreach efforts</w:t>
      </w:r>
      <w:r w:rsidR="0040228C">
        <w:t>,</w:t>
      </w:r>
      <w:r>
        <w:t xml:space="preserve"> and strategies identified previously should be credited for our </w:t>
      </w:r>
      <w:r w:rsidR="0040228C">
        <w:t xml:space="preserve">success in engagement.  We firmly believe that having the work force capacity available to respond to </w:t>
      </w:r>
    </w:p>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Default="00C2429A" w:rsidP="00C43A43"/>
    <w:p w:rsidR="00C2429A" w:rsidRPr="00C43A43" w:rsidRDefault="00C2429A" w:rsidP="00C43A43"/>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6B5DF8" w:rsidP="00C43A43">
      <w:r>
        <w:t>Below are the data for</w:t>
      </w:r>
      <w:r w:rsidR="00C43A43" w:rsidRPr="00C43A43">
        <w:t xml:space="preserve"> responses by clients in your county to these two questions.  </w:t>
      </w:r>
    </w:p>
    <w:p w:rsidR="006B5DF8" w:rsidRDefault="006B5DF8" w:rsidP="00A43445">
      <w:r>
        <w:t>For general comparison, statewide reference data for various sized counties are shown in the tables on page 19.</w:t>
      </w:r>
      <w:r w:rsidRPr="00C43A43">
        <w:t xml:space="preserve"> </w:t>
      </w:r>
    </w:p>
    <w:p w:rsidR="00A43445" w:rsidRDefault="00A43445"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6B5DF8" w:rsidRPr="00C43A43" w:rsidRDefault="006B5DF8" w:rsidP="00C43A43"/>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A43445" w:rsidTr="00452F74">
        <w:tc>
          <w:tcPr>
            <w:tcW w:w="1368" w:type="dxa"/>
          </w:tcPr>
          <w:p w:rsidR="00A43445" w:rsidRDefault="00A43445" w:rsidP="00452F74"/>
        </w:tc>
        <w:tc>
          <w:tcPr>
            <w:tcW w:w="1368" w:type="dxa"/>
          </w:tcPr>
          <w:p w:rsidR="00A43445" w:rsidRDefault="00A43445" w:rsidP="00452F74">
            <w:r>
              <w:t xml:space="preserve">Strongly Disagree      </w:t>
            </w:r>
          </w:p>
        </w:tc>
        <w:tc>
          <w:tcPr>
            <w:tcW w:w="1368" w:type="dxa"/>
          </w:tcPr>
          <w:p w:rsidR="00A43445" w:rsidRDefault="00A43445" w:rsidP="00452F74">
            <w:r>
              <w:t>Disagree</w:t>
            </w:r>
          </w:p>
        </w:tc>
        <w:tc>
          <w:tcPr>
            <w:tcW w:w="1368" w:type="dxa"/>
          </w:tcPr>
          <w:p w:rsidR="00A43445" w:rsidRDefault="00A43445" w:rsidP="00452F74">
            <w:r>
              <w:t>Neutral</w:t>
            </w:r>
          </w:p>
        </w:tc>
        <w:tc>
          <w:tcPr>
            <w:tcW w:w="1368" w:type="dxa"/>
          </w:tcPr>
          <w:p w:rsidR="00A43445" w:rsidRDefault="00A43445" w:rsidP="00452F74">
            <w:r>
              <w:t>Agree</w:t>
            </w:r>
          </w:p>
        </w:tc>
        <w:tc>
          <w:tcPr>
            <w:tcW w:w="1368" w:type="dxa"/>
          </w:tcPr>
          <w:p w:rsidR="00A43445" w:rsidRDefault="00A43445" w:rsidP="00452F74">
            <w:r>
              <w:t>Strongly A</w:t>
            </w:r>
            <w:r w:rsidRPr="00C43A43">
              <w:t>gre</w:t>
            </w:r>
            <w:r>
              <w:t>e</w:t>
            </w:r>
          </w:p>
        </w:tc>
        <w:tc>
          <w:tcPr>
            <w:tcW w:w="1368" w:type="dxa"/>
          </w:tcPr>
          <w:p w:rsidR="00A43445" w:rsidRPr="00AA7646" w:rsidRDefault="00A43445" w:rsidP="00452F74">
            <w:pPr>
              <w:pStyle w:val="Heading1"/>
              <w:outlineLvl w:val="0"/>
            </w:pPr>
            <w:r w:rsidRPr="00AA7646">
              <w:t>Total</w:t>
            </w:r>
          </w:p>
        </w:tc>
      </w:tr>
      <w:tr w:rsidR="00A43445" w:rsidTr="00452F74">
        <w:tc>
          <w:tcPr>
            <w:tcW w:w="1368" w:type="dxa"/>
          </w:tcPr>
          <w:p w:rsidR="00A43445" w:rsidRDefault="00A43445" w:rsidP="00452F74">
            <w:r>
              <w:t>Number of Responses</w:t>
            </w:r>
          </w:p>
        </w:tc>
        <w:tc>
          <w:tcPr>
            <w:tcW w:w="1368" w:type="dxa"/>
          </w:tcPr>
          <w:p w:rsidR="00A43445" w:rsidRDefault="00A43445" w:rsidP="00452F74">
            <w:r>
              <w:t>1</w:t>
            </w:r>
          </w:p>
        </w:tc>
        <w:tc>
          <w:tcPr>
            <w:tcW w:w="1368" w:type="dxa"/>
          </w:tcPr>
          <w:p w:rsidR="00A43445" w:rsidRDefault="00A43445" w:rsidP="00452F74">
            <w:r>
              <w:t>7</w:t>
            </w:r>
          </w:p>
        </w:tc>
        <w:tc>
          <w:tcPr>
            <w:tcW w:w="1368" w:type="dxa"/>
          </w:tcPr>
          <w:p w:rsidR="00A43445" w:rsidRDefault="00A43445" w:rsidP="00452F74">
            <w:r>
              <w:t>21</w:t>
            </w:r>
          </w:p>
        </w:tc>
        <w:tc>
          <w:tcPr>
            <w:tcW w:w="1368" w:type="dxa"/>
          </w:tcPr>
          <w:p w:rsidR="00A43445" w:rsidRDefault="00A43445" w:rsidP="00452F74">
            <w:r>
              <w:t>65</w:t>
            </w:r>
          </w:p>
        </w:tc>
        <w:tc>
          <w:tcPr>
            <w:tcW w:w="1368" w:type="dxa"/>
          </w:tcPr>
          <w:p w:rsidR="00A43445" w:rsidRDefault="00A43445" w:rsidP="00452F74">
            <w:r>
              <w:t>59</w:t>
            </w:r>
          </w:p>
        </w:tc>
        <w:tc>
          <w:tcPr>
            <w:tcW w:w="1368" w:type="dxa"/>
          </w:tcPr>
          <w:p w:rsidR="00A43445" w:rsidRDefault="00A43445" w:rsidP="00452F74">
            <w:r>
              <w:t>153</w:t>
            </w:r>
          </w:p>
        </w:tc>
      </w:tr>
      <w:tr w:rsidR="00A43445" w:rsidTr="00452F74">
        <w:tc>
          <w:tcPr>
            <w:tcW w:w="1368" w:type="dxa"/>
          </w:tcPr>
          <w:p w:rsidR="00A43445" w:rsidRDefault="00A43445" w:rsidP="00452F74">
            <w:r>
              <w:t>Percent of Responses</w:t>
            </w:r>
          </w:p>
        </w:tc>
        <w:tc>
          <w:tcPr>
            <w:tcW w:w="1368" w:type="dxa"/>
          </w:tcPr>
          <w:p w:rsidR="00A43445" w:rsidRDefault="00A43445" w:rsidP="00452F74">
            <w:r>
              <w:t>0.7 %</w:t>
            </w:r>
          </w:p>
        </w:tc>
        <w:tc>
          <w:tcPr>
            <w:tcW w:w="1368" w:type="dxa"/>
          </w:tcPr>
          <w:p w:rsidR="00A43445" w:rsidRDefault="00A43445" w:rsidP="00452F74">
            <w:r>
              <w:t>4.6 %</w:t>
            </w:r>
          </w:p>
        </w:tc>
        <w:tc>
          <w:tcPr>
            <w:tcW w:w="1368" w:type="dxa"/>
          </w:tcPr>
          <w:p w:rsidR="00A43445" w:rsidRDefault="00A43445" w:rsidP="00452F74">
            <w:r>
              <w:t>13.7 %</w:t>
            </w:r>
          </w:p>
        </w:tc>
        <w:tc>
          <w:tcPr>
            <w:tcW w:w="1368" w:type="dxa"/>
          </w:tcPr>
          <w:p w:rsidR="00A43445" w:rsidRDefault="00A43445" w:rsidP="00452F74">
            <w:r>
              <w:t>42.5 %</w:t>
            </w:r>
          </w:p>
        </w:tc>
        <w:tc>
          <w:tcPr>
            <w:tcW w:w="1368" w:type="dxa"/>
          </w:tcPr>
          <w:p w:rsidR="00A43445" w:rsidRDefault="00A43445" w:rsidP="00452F74">
            <w:r>
              <w:t>38.6 %</w:t>
            </w:r>
          </w:p>
        </w:tc>
        <w:tc>
          <w:tcPr>
            <w:tcW w:w="1368" w:type="dxa"/>
          </w:tcPr>
          <w:p w:rsidR="00A43445" w:rsidRDefault="00A43445" w:rsidP="00452F74">
            <w:r>
              <w:t>100.0 %</w:t>
            </w:r>
          </w:p>
        </w:tc>
      </w:tr>
    </w:tbl>
    <w:p w:rsidR="00892086" w:rsidRDefault="00892086" w:rsidP="00C43A43"/>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A43445" w:rsidTr="00452F74">
        <w:tc>
          <w:tcPr>
            <w:tcW w:w="1368" w:type="dxa"/>
          </w:tcPr>
          <w:p w:rsidR="00A43445" w:rsidRDefault="00A43445" w:rsidP="00452F74"/>
        </w:tc>
        <w:tc>
          <w:tcPr>
            <w:tcW w:w="1368" w:type="dxa"/>
          </w:tcPr>
          <w:p w:rsidR="00A43445" w:rsidRDefault="00A43445" w:rsidP="00452F74">
            <w:r>
              <w:t xml:space="preserve">Strongly Disagree      </w:t>
            </w:r>
          </w:p>
        </w:tc>
        <w:tc>
          <w:tcPr>
            <w:tcW w:w="1368" w:type="dxa"/>
          </w:tcPr>
          <w:p w:rsidR="00A43445" w:rsidRDefault="00A43445" w:rsidP="00452F74">
            <w:r>
              <w:t>Disagree</w:t>
            </w:r>
          </w:p>
        </w:tc>
        <w:tc>
          <w:tcPr>
            <w:tcW w:w="1368" w:type="dxa"/>
          </w:tcPr>
          <w:p w:rsidR="00A43445" w:rsidRDefault="00A43445" w:rsidP="00452F74">
            <w:r>
              <w:t>Neutral</w:t>
            </w:r>
          </w:p>
        </w:tc>
        <w:tc>
          <w:tcPr>
            <w:tcW w:w="1368" w:type="dxa"/>
          </w:tcPr>
          <w:p w:rsidR="00A43445" w:rsidRDefault="00A43445" w:rsidP="00452F74">
            <w:r>
              <w:t>Agree</w:t>
            </w:r>
          </w:p>
        </w:tc>
        <w:tc>
          <w:tcPr>
            <w:tcW w:w="1368" w:type="dxa"/>
          </w:tcPr>
          <w:p w:rsidR="00A43445" w:rsidRDefault="00A43445" w:rsidP="00452F74">
            <w:r>
              <w:t>Strongly A</w:t>
            </w:r>
            <w:r w:rsidRPr="00C43A43">
              <w:t>gre</w:t>
            </w:r>
            <w:r>
              <w:t>e</w:t>
            </w:r>
          </w:p>
        </w:tc>
        <w:tc>
          <w:tcPr>
            <w:tcW w:w="1368" w:type="dxa"/>
          </w:tcPr>
          <w:p w:rsidR="00A43445" w:rsidRPr="00AA7646" w:rsidRDefault="00A43445" w:rsidP="00452F74">
            <w:pPr>
              <w:pStyle w:val="Heading1"/>
              <w:outlineLvl w:val="0"/>
            </w:pPr>
            <w:r w:rsidRPr="00AA7646">
              <w:t>Total</w:t>
            </w:r>
          </w:p>
        </w:tc>
      </w:tr>
      <w:tr w:rsidR="00A43445" w:rsidTr="00452F74">
        <w:tc>
          <w:tcPr>
            <w:tcW w:w="1368" w:type="dxa"/>
          </w:tcPr>
          <w:p w:rsidR="00A43445" w:rsidRDefault="00A43445" w:rsidP="00452F74">
            <w:r>
              <w:t>Number of Responses</w:t>
            </w:r>
          </w:p>
        </w:tc>
        <w:tc>
          <w:tcPr>
            <w:tcW w:w="1368" w:type="dxa"/>
          </w:tcPr>
          <w:p w:rsidR="00A43445" w:rsidRDefault="00A43445" w:rsidP="00452F74">
            <w:r>
              <w:t>0</w:t>
            </w:r>
          </w:p>
        </w:tc>
        <w:tc>
          <w:tcPr>
            <w:tcW w:w="1368" w:type="dxa"/>
          </w:tcPr>
          <w:p w:rsidR="00A43445" w:rsidRDefault="00A43445" w:rsidP="00452F74">
            <w:r>
              <w:t>4</w:t>
            </w:r>
          </w:p>
        </w:tc>
        <w:tc>
          <w:tcPr>
            <w:tcW w:w="1368" w:type="dxa"/>
          </w:tcPr>
          <w:p w:rsidR="00A43445" w:rsidRDefault="00A43445" w:rsidP="00452F74">
            <w:r>
              <w:t>17</w:t>
            </w:r>
          </w:p>
        </w:tc>
        <w:tc>
          <w:tcPr>
            <w:tcW w:w="1368" w:type="dxa"/>
          </w:tcPr>
          <w:p w:rsidR="00A43445" w:rsidRDefault="00A43445" w:rsidP="00452F74">
            <w:r>
              <w:t>43</w:t>
            </w:r>
          </w:p>
        </w:tc>
        <w:tc>
          <w:tcPr>
            <w:tcW w:w="1368" w:type="dxa"/>
          </w:tcPr>
          <w:p w:rsidR="00A43445" w:rsidRDefault="00A43445" w:rsidP="00452F74">
            <w:r>
              <w:t>26</w:t>
            </w:r>
          </w:p>
        </w:tc>
        <w:tc>
          <w:tcPr>
            <w:tcW w:w="1368" w:type="dxa"/>
          </w:tcPr>
          <w:p w:rsidR="00A43445" w:rsidRDefault="00A43445" w:rsidP="00452F74">
            <w:r>
              <w:t>90</w:t>
            </w:r>
          </w:p>
        </w:tc>
      </w:tr>
      <w:tr w:rsidR="00A43445" w:rsidTr="00452F74">
        <w:tc>
          <w:tcPr>
            <w:tcW w:w="1368" w:type="dxa"/>
          </w:tcPr>
          <w:p w:rsidR="00A43445" w:rsidRDefault="00A43445" w:rsidP="00452F74">
            <w:r>
              <w:t>Percent of Responses</w:t>
            </w:r>
          </w:p>
        </w:tc>
        <w:tc>
          <w:tcPr>
            <w:tcW w:w="1368" w:type="dxa"/>
          </w:tcPr>
          <w:p w:rsidR="00A43445" w:rsidRDefault="00A43445" w:rsidP="00452F74">
            <w:r>
              <w:t>0 %</w:t>
            </w:r>
          </w:p>
        </w:tc>
        <w:tc>
          <w:tcPr>
            <w:tcW w:w="1368" w:type="dxa"/>
          </w:tcPr>
          <w:p w:rsidR="00A43445" w:rsidRDefault="00A43445" w:rsidP="00452F74">
            <w:r>
              <w:t>4.4 %</w:t>
            </w:r>
          </w:p>
        </w:tc>
        <w:tc>
          <w:tcPr>
            <w:tcW w:w="1368" w:type="dxa"/>
          </w:tcPr>
          <w:p w:rsidR="00A43445" w:rsidRDefault="00A43445" w:rsidP="00452F74">
            <w:r>
              <w:t>18.9 %</w:t>
            </w:r>
          </w:p>
        </w:tc>
        <w:tc>
          <w:tcPr>
            <w:tcW w:w="1368" w:type="dxa"/>
          </w:tcPr>
          <w:p w:rsidR="00A43445" w:rsidRDefault="00A43445" w:rsidP="00452F74">
            <w:r>
              <w:t>47.8 %</w:t>
            </w:r>
          </w:p>
        </w:tc>
        <w:tc>
          <w:tcPr>
            <w:tcW w:w="1368" w:type="dxa"/>
          </w:tcPr>
          <w:p w:rsidR="00A43445" w:rsidRDefault="00A43445" w:rsidP="00452F74">
            <w:r>
              <w:t>28.9 %</w:t>
            </w:r>
          </w:p>
        </w:tc>
        <w:tc>
          <w:tcPr>
            <w:tcW w:w="1368" w:type="dxa"/>
          </w:tcPr>
          <w:p w:rsidR="00A43445" w:rsidRDefault="00A43445" w:rsidP="00452F74">
            <w:r>
              <w:t>100.0 %</w:t>
            </w:r>
          </w:p>
        </w:tc>
      </w:tr>
    </w:tbl>
    <w:p w:rsidR="00C43A43" w:rsidRPr="00C43A43" w:rsidRDefault="00C43A43" w:rsidP="00C43A43">
      <w:pPr>
        <w:pStyle w:val="ListParagraph"/>
      </w:pPr>
    </w:p>
    <w:p w:rsidR="00892086" w:rsidRPr="00C43A43" w:rsidRDefault="00892086" w:rsidP="00C43A43"/>
    <w:p w:rsidR="00C43A43" w:rsidRPr="00C43A43" w:rsidRDefault="00C43A43" w:rsidP="00C43A43"/>
    <w:p w:rsidR="00892086" w:rsidRDefault="00892086">
      <w:pPr>
        <w:rPr>
          <w:b/>
        </w:rPr>
      </w:pPr>
      <w:r>
        <w:rPr>
          <w:b/>
        </w:rPr>
        <w:br w:type="page"/>
      </w:r>
    </w:p>
    <w:p w:rsidR="00C43A43" w:rsidRPr="00C43A43" w:rsidRDefault="006B5DF8"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A62A85" w:rsidRDefault="004D126D" w:rsidP="00C43A43">
      <w:r w:rsidRPr="00A62A85">
        <w:t xml:space="preserve">Due to the small number of surveys, it is difficult to draw a definitive conclusion.  The county hopes to develop broader data collection efforts to better assess the effectiveness of services.   </w:t>
      </w:r>
    </w:p>
    <w:p w:rsidR="00C43A43" w:rsidRPr="00C43A43" w:rsidRDefault="00C43A43"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2A39D1" w:rsidRDefault="004D126D" w:rsidP="00C43A43">
      <w:r>
        <w:t>There is not sufficient data to make recommendations.</w:t>
      </w:r>
    </w:p>
    <w:p w:rsidR="00923210" w:rsidRPr="00C43A43" w:rsidRDefault="00923210"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2A39D1" w:rsidRDefault="004D126D" w:rsidP="00C43A43">
      <w:r>
        <w:t xml:space="preserve">Our </w:t>
      </w:r>
      <w:r w:rsidR="00A20F18">
        <w:t xml:space="preserve">proposed strategy to increase participation will be through the use of peers and </w:t>
      </w:r>
      <w:proofErr w:type="spellStart"/>
      <w:r w:rsidR="00A20F18">
        <w:t>promotores</w:t>
      </w:r>
      <w:proofErr w:type="spellEnd"/>
      <w:r w:rsidR="00A20F18">
        <w:t xml:space="preserve">.  Additionally, underrepresented populations will also be targeted utilizing existing service providers and staff.  </w:t>
      </w:r>
    </w:p>
    <w:p w:rsidR="00923210" w:rsidRPr="00C43A43" w:rsidRDefault="00923210" w:rsidP="00C43A43"/>
    <w:p w:rsidR="00C43A43" w:rsidRPr="00C43A43" w:rsidRDefault="00C43A43" w:rsidP="00C43A43">
      <w:pPr>
        <w:rPr>
          <w:b/>
        </w:rPr>
      </w:pPr>
      <w:r w:rsidRPr="00C43A43">
        <w:rPr>
          <w:b/>
        </w:rPr>
        <w:t xml:space="preserve">18.  Lastly, </w:t>
      </w:r>
      <w:r w:rsidR="00B45EEE">
        <w:rPr>
          <w:b/>
        </w:rPr>
        <w:t xml:space="preserve">but perhaps most important </w:t>
      </w:r>
      <w:r w:rsidRPr="00C43A43">
        <w:rPr>
          <w:b/>
        </w:rPr>
        <w:t>overall, with respect to delivery of services, do you have suggestions regarding any of the following:</w:t>
      </w:r>
    </w:p>
    <w:p w:rsidR="00C43A43" w:rsidRPr="00A62A85" w:rsidRDefault="00A20F18" w:rsidP="00A20F18">
      <w:pPr>
        <w:tabs>
          <w:tab w:val="left" w:pos="1340"/>
        </w:tabs>
      </w:pPr>
      <w:r w:rsidRPr="00A62A85">
        <w:t>The responses below are based on stakeholder input compiled during the MHSA Three Year Plan Update Process for FY 14/15.</w:t>
      </w:r>
    </w:p>
    <w:p w:rsid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A20F18" w:rsidRPr="00923210" w:rsidRDefault="00A20F18" w:rsidP="00A20F18">
      <w:pPr>
        <w:spacing w:after="0" w:line="240" w:lineRule="auto"/>
        <w:ind w:left="360"/>
      </w:pPr>
      <w:r w:rsidRPr="00923210">
        <w:t>The following were</w:t>
      </w:r>
      <w:r w:rsidR="009C4BE4" w:rsidRPr="00923210">
        <w:t xml:space="preserve"> some of items</w:t>
      </w:r>
      <w:r w:rsidRPr="00923210">
        <w:t xml:space="preserve"> identified</w:t>
      </w:r>
      <w:r w:rsidR="009C4BE4" w:rsidRPr="00923210">
        <w:t xml:space="preserve"> by stakeholders</w:t>
      </w:r>
      <w:r w:rsidRPr="00923210">
        <w:t xml:space="preserve"> as potential gaps in services:</w:t>
      </w:r>
    </w:p>
    <w:p w:rsidR="00C43A43" w:rsidRPr="00923210" w:rsidRDefault="009C4BE4" w:rsidP="009C4BE4">
      <w:pPr>
        <w:pStyle w:val="ListParagraph"/>
        <w:numPr>
          <w:ilvl w:val="0"/>
          <w:numId w:val="33"/>
        </w:numPr>
      </w:pPr>
      <w:r w:rsidRPr="00923210">
        <w:t>Co-occurring services (AOD/MH/Physical Health)</w:t>
      </w:r>
    </w:p>
    <w:p w:rsidR="009C4BE4" w:rsidRPr="00923210" w:rsidRDefault="009C4BE4" w:rsidP="009C4BE4">
      <w:pPr>
        <w:pStyle w:val="ListParagraph"/>
        <w:numPr>
          <w:ilvl w:val="0"/>
          <w:numId w:val="33"/>
        </w:numPr>
      </w:pPr>
      <w:r w:rsidRPr="00923210">
        <w:t>Forensic Services</w:t>
      </w:r>
    </w:p>
    <w:p w:rsidR="009C4BE4" w:rsidRPr="00923210" w:rsidRDefault="009C4BE4" w:rsidP="009C4BE4">
      <w:pPr>
        <w:pStyle w:val="ListParagraph"/>
        <w:numPr>
          <w:ilvl w:val="0"/>
          <w:numId w:val="33"/>
        </w:numPr>
      </w:pPr>
      <w:r w:rsidRPr="00923210">
        <w:t>Services for Axis II clients</w:t>
      </w:r>
    </w:p>
    <w:p w:rsidR="009C4BE4" w:rsidRPr="00923210" w:rsidRDefault="009C4BE4" w:rsidP="009C4BE4">
      <w:pPr>
        <w:pStyle w:val="ListParagraph"/>
        <w:numPr>
          <w:ilvl w:val="0"/>
          <w:numId w:val="33"/>
        </w:numPr>
      </w:pPr>
      <w:r w:rsidRPr="00923210">
        <w:t>Homeless Services</w:t>
      </w:r>
    </w:p>
    <w:p w:rsidR="009C4BE4" w:rsidRPr="00923210" w:rsidRDefault="009C4BE4" w:rsidP="009C4BE4">
      <w:pPr>
        <w:pStyle w:val="ListParagraph"/>
        <w:numPr>
          <w:ilvl w:val="0"/>
          <w:numId w:val="33"/>
        </w:numPr>
      </w:pPr>
      <w:r w:rsidRPr="00923210">
        <w:t>Services targeting young women who are victims of sex trafficking</w:t>
      </w:r>
    </w:p>
    <w:p w:rsidR="009C4BE4" w:rsidRPr="00923210" w:rsidRDefault="009C4BE4" w:rsidP="009C4BE4">
      <w:pPr>
        <w:pStyle w:val="ListParagraph"/>
        <w:numPr>
          <w:ilvl w:val="0"/>
          <w:numId w:val="33"/>
        </w:numPr>
      </w:pPr>
      <w:r w:rsidRPr="00923210">
        <w:t xml:space="preserve">Services that are culturally and linguistically sensitive </w:t>
      </w:r>
    </w:p>
    <w:p w:rsidR="009C4BE4" w:rsidRDefault="009C4BE4" w:rsidP="009C4BE4">
      <w:pPr>
        <w:pStyle w:val="ListParagraph"/>
        <w:numPr>
          <w:ilvl w:val="0"/>
          <w:numId w:val="33"/>
        </w:numPr>
      </w:pPr>
      <w:r w:rsidRPr="00923210">
        <w:t>Interventions that are Evidence Based and are culturally informed and relevant</w:t>
      </w:r>
    </w:p>
    <w:p w:rsidR="00923210" w:rsidRPr="00923210" w:rsidRDefault="00923210" w:rsidP="00923210">
      <w:pPr>
        <w:pStyle w:val="ListParagraph"/>
        <w:ind w:left="1440"/>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Default="00C43A43" w:rsidP="00C43A43">
      <w:pPr>
        <w:pStyle w:val="ListParagraph"/>
        <w:rPr>
          <w:b/>
        </w:rPr>
      </w:pPr>
    </w:p>
    <w:p w:rsidR="00923210" w:rsidRDefault="009C4BE4" w:rsidP="00C43A43">
      <w:pPr>
        <w:pStyle w:val="ListParagraph"/>
      </w:pPr>
      <w:r w:rsidRPr="00A62A85">
        <w:t xml:space="preserve">The process also identified the need for integration of services internally and externally.  Improved coordination between mental health and alcohol drug </w:t>
      </w:r>
      <w:r w:rsidRPr="00A62A85">
        <w:lastRenderedPageBreak/>
        <w:t>services was a key priority for stakeholders.  The need for coordination of internal services to impro</w:t>
      </w:r>
      <w:r w:rsidR="00923210">
        <w:t>ve client movement with</w:t>
      </w:r>
      <w:r w:rsidRPr="00A62A85">
        <w:t xml:space="preserve">in our system was also identified as a key component necessary to improve quality of care for clients.  Finally, the need to coordinate with external partners such as community based providers, probation, law enforcement, the Department of Social Services, and Public Health was also a key area of focus identified. </w:t>
      </w:r>
    </w:p>
    <w:p w:rsidR="009C4BE4" w:rsidRPr="00A62A85" w:rsidRDefault="009C4BE4" w:rsidP="00C43A43">
      <w:pPr>
        <w:pStyle w:val="ListParagraph"/>
      </w:pPr>
      <w:r w:rsidRPr="00A62A85">
        <w:t xml:space="preserve"> </w:t>
      </w: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923210" w:rsidRDefault="00923210" w:rsidP="00923210">
      <w:pPr>
        <w:pStyle w:val="ListParagraph"/>
        <w:spacing w:after="0" w:line="240" w:lineRule="auto"/>
        <w:rPr>
          <w:b/>
        </w:rPr>
      </w:pPr>
    </w:p>
    <w:p w:rsidR="009C4BE4" w:rsidRPr="00A62A85" w:rsidRDefault="009C4BE4" w:rsidP="009C4BE4">
      <w:pPr>
        <w:pStyle w:val="ListParagraph"/>
        <w:spacing w:after="0" w:line="240" w:lineRule="auto"/>
      </w:pPr>
      <w:r w:rsidRPr="00A62A85">
        <w:t>As a result of these recommendations, several new prog</w:t>
      </w:r>
      <w:r w:rsidR="00A62A85" w:rsidRPr="00A62A85">
        <w:t xml:space="preserve">rams have been proposed.  The new program recommendations should address many of the needs identified by stakeholders.  Furthermore, the proposed system design will also improve client access, client flow into and throughout the system, and will also standardize the types of interventions that are afforded to clients.  The program interventions will be culturally adapted to the needs of our client population and will be rooted in community based evidence practices or evidence based practices.  </w:t>
      </w:r>
    </w:p>
    <w:p w:rsidR="00C43A43" w:rsidRPr="00C43A43" w:rsidRDefault="00C43A43" w:rsidP="00C43A43">
      <w:pPr>
        <w:rPr>
          <w:b/>
        </w:rPr>
      </w:pP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B45EEE" w:rsidRDefault="00B45EEE" w:rsidP="00B45EEE">
      <w:proofErr w:type="gramStart"/>
      <w:r w:rsidRPr="00B45EEE">
        <w:rPr>
          <w:sz w:val="28"/>
          <w:szCs w:val="28"/>
        </w:rPr>
        <w:lastRenderedPageBreak/>
        <w:t xml:space="preserve">REFERENCE </w:t>
      </w:r>
      <w:r>
        <w:rPr>
          <w:sz w:val="28"/>
          <w:szCs w:val="28"/>
        </w:rPr>
        <w:t xml:space="preserve"> </w:t>
      </w:r>
      <w:r w:rsidRPr="00B45EEE">
        <w:rPr>
          <w:sz w:val="28"/>
          <w:szCs w:val="28"/>
        </w:rPr>
        <w:t>DATA</w:t>
      </w:r>
      <w:proofErr w:type="gramEnd"/>
      <w:r w:rsidRPr="00B45EEE">
        <w:rPr>
          <w:sz w:val="28"/>
          <w:szCs w:val="28"/>
        </w:rPr>
        <w:t>:</w:t>
      </w:r>
      <w:r>
        <w:t xml:space="preserve">  for general comparison with your county MHP results</w:t>
      </w:r>
    </w:p>
    <w:p w:rsidR="00B45EEE" w:rsidRPr="00B45EEE" w:rsidRDefault="00B45EEE" w:rsidP="00B45EEE">
      <w:pPr>
        <w:jc w:val="center"/>
        <w:rPr>
          <w:sz w:val="20"/>
          <w:szCs w:val="20"/>
        </w:rPr>
      </w:pPr>
    </w:p>
    <w:p w:rsidR="00B45EEE" w:rsidRDefault="00B45EEE" w:rsidP="00B45EEE">
      <w:r>
        <w:rPr>
          <w:noProof/>
        </w:rPr>
        <w:drawing>
          <wp:inline distT="0" distB="0" distL="0" distR="0" wp14:anchorId="55150C79" wp14:editId="238C5746">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090420"/>
                    </a:xfrm>
                    <a:prstGeom prst="rect">
                      <a:avLst/>
                    </a:prstGeom>
                  </pic:spPr>
                </pic:pic>
              </a:graphicData>
            </a:graphic>
          </wp:inline>
        </w:drawing>
      </w:r>
    </w:p>
    <w:p w:rsidR="00B45EEE" w:rsidRDefault="00B45EEE" w:rsidP="00B45EEE"/>
    <w:p w:rsidR="00B45EEE" w:rsidRDefault="00B45EEE" w:rsidP="00B45EEE">
      <w:r>
        <w:rPr>
          <w:noProof/>
        </w:rPr>
        <w:drawing>
          <wp:inline distT="0" distB="0" distL="0" distR="0" wp14:anchorId="59FCDFAF" wp14:editId="551E32CF">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095500"/>
                    </a:xfrm>
                    <a:prstGeom prst="rect">
                      <a:avLst/>
                    </a:prstGeom>
                  </pic:spPr>
                </pic:pic>
              </a:graphicData>
            </a:graphic>
          </wp:inline>
        </w:drawing>
      </w:r>
    </w:p>
    <w:p w:rsidR="00B45EEE" w:rsidRDefault="00B45EEE" w:rsidP="00B45EEE"/>
    <w:p w:rsidR="00B45EEE" w:rsidRDefault="00B45EEE" w:rsidP="00B45EEE">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B45EEE" w:rsidRPr="00360F23" w:rsidRDefault="00B45EEE" w:rsidP="00B45EEE">
      <w:pPr>
        <w:autoSpaceDE w:val="0"/>
        <w:autoSpaceDN w:val="0"/>
        <w:rPr>
          <w:color w:val="000000"/>
          <w:sz w:val="20"/>
          <w:szCs w:val="20"/>
          <w:lang w:val="es-MX"/>
        </w:rPr>
      </w:pPr>
      <w:proofErr w:type="gramStart"/>
      <w:r w:rsidRPr="00360F23">
        <w:rPr>
          <w:rFonts w:ascii="Courier New" w:hAnsi="Courier New" w:cs="Courier New"/>
          <w:color w:val="244061"/>
          <w:sz w:val="20"/>
          <w:szCs w:val="20"/>
          <w:lang w:val="es-MX"/>
        </w:rPr>
        <w:t>o</w:t>
      </w:r>
      <w:proofErr w:type="gramEnd"/>
      <w:r w:rsidRPr="00360F23">
        <w:rPr>
          <w:rFonts w:ascii="Courier New" w:hAnsi="Courier New" w:cs="Courier New"/>
          <w:color w:val="244061"/>
          <w:sz w:val="20"/>
          <w:szCs w:val="20"/>
          <w:lang w:val="es-MX"/>
        </w:rPr>
        <w:t xml:space="preserve"> </w:t>
      </w:r>
      <w:r w:rsidRPr="00360F23">
        <w:rPr>
          <w:color w:val="000000"/>
          <w:sz w:val="20"/>
          <w:szCs w:val="20"/>
          <w:lang w:val="es-MX"/>
        </w:rPr>
        <w:t>Small</w:t>
      </w:r>
      <w:r w:rsidRPr="00360F23">
        <w:rPr>
          <w:rFonts w:ascii="Cambria Math" w:hAnsi="Cambria Math" w:cs="Cambria Math"/>
          <w:color w:val="000000"/>
          <w:sz w:val="20"/>
          <w:szCs w:val="20"/>
          <w:lang w:val="es-MX"/>
        </w:rPr>
        <w:t>‐</w:t>
      </w:r>
      <w:r w:rsidRPr="00360F23">
        <w:rPr>
          <w:color w:val="000000"/>
          <w:sz w:val="20"/>
          <w:szCs w:val="20"/>
          <w:lang w:val="es-MX"/>
        </w:rPr>
        <w:t xml:space="preserve">Rural </w:t>
      </w:r>
      <w:proofErr w:type="spellStart"/>
      <w:r w:rsidRPr="00360F23">
        <w:rPr>
          <w:color w:val="000000"/>
          <w:sz w:val="20"/>
          <w:szCs w:val="20"/>
          <w:lang w:val="es-MX"/>
        </w:rPr>
        <w:t>MHPs</w:t>
      </w:r>
      <w:proofErr w:type="spellEnd"/>
      <w:r w:rsidRPr="00360F23">
        <w:rPr>
          <w:color w:val="000000"/>
          <w:sz w:val="20"/>
          <w:szCs w:val="20"/>
          <w:lang w:val="es-MX"/>
        </w:rPr>
        <w:t xml:space="preserve"> = </w:t>
      </w:r>
      <w:proofErr w:type="spellStart"/>
      <w:r w:rsidRPr="00360F23">
        <w:rPr>
          <w:color w:val="000000"/>
          <w:sz w:val="20"/>
          <w:szCs w:val="20"/>
          <w:lang w:val="es-MX"/>
        </w:rPr>
        <w:t>Alpine</w:t>
      </w:r>
      <w:proofErr w:type="spellEnd"/>
      <w:r w:rsidRPr="00360F23">
        <w:rPr>
          <w:color w:val="000000"/>
          <w:sz w:val="20"/>
          <w:szCs w:val="20"/>
          <w:lang w:val="es-MX"/>
        </w:rPr>
        <w:t xml:space="preserve">, Amador, Calaveras, </w:t>
      </w:r>
      <w:proofErr w:type="spellStart"/>
      <w:r w:rsidRPr="00360F23">
        <w:rPr>
          <w:color w:val="000000"/>
          <w:sz w:val="20"/>
          <w:szCs w:val="20"/>
          <w:lang w:val="es-MX"/>
        </w:rPr>
        <w:t>Colusa</w:t>
      </w:r>
      <w:proofErr w:type="spellEnd"/>
      <w:r w:rsidRPr="00360F23">
        <w:rPr>
          <w:color w:val="000000"/>
          <w:sz w:val="20"/>
          <w:szCs w:val="20"/>
          <w:lang w:val="es-MX"/>
        </w:rPr>
        <w:t xml:space="preserve">, Del Norte, Glenn, </w:t>
      </w:r>
      <w:proofErr w:type="spellStart"/>
      <w:r w:rsidRPr="00360F23">
        <w:rPr>
          <w:color w:val="000000"/>
          <w:sz w:val="20"/>
          <w:szCs w:val="20"/>
          <w:lang w:val="es-MX"/>
        </w:rPr>
        <w:t>Inyo</w:t>
      </w:r>
      <w:proofErr w:type="spellEnd"/>
      <w:r w:rsidRPr="00360F23">
        <w:rPr>
          <w:color w:val="000000"/>
          <w:sz w:val="20"/>
          <w:szCs w:val="20"/>
          <w:lang w:val="es-MX"/>
        </w:rPr>
        <w:t xml:space="preserve">, Lassen, Mariposa, </w:t>
      </w:r>
      <w:proofErr w:type="spellStart"/>
      <w:r w:rsidRPr="00360F23">
        <w:rPr>
          <w:color w:val="000000"/>
          <w:sz w:val="20"/>
          <w:szCs w:val="20"/>
          <w:lang w:val="es-MX"/>
        </w:rPr>
        <w:t>Modoc</w:t>
      </w:r>
      <w:proofErr w:type="spellEnd"/>
      <w:r w:rsidRPr="00360F23">
        <w:rPr>
          <w:color w:val="000000"/>
          <w:sz w:val="20"/>
          <w:szCs w:val="20"/>
          <w:lang w:val="es-MX"/>
        </w:rPr>
        <w:t xml:space="preserve">, Mono, Plumas, </w:t>
      </w:r>
      <w:proofErr w:type="spellStart"/>
      <w:r w:rsidRPr="00360F23">
        <w:rPr>
          <w:color w:val="000000"/>
          <w:sz w:val="20"/>
          <w:szCs w:val="20"/>
          <w:lang w:val="es-MX"/>
        </w:rPr>
        <w:t>Siskiyou</w:t>
      </w:r>
      <w:proofErr w:type="spellEnd"/>
      <w:r w:rsidRPr="00360F23">
        <w:rPr>
          <w:color w:val="000000"/>
          <w:sz w:val="20"/>
          <w:szCs w:val="20"/>
          <w:lang w:val="es-MX"/>
        </w:rPr>
        <w:t>, Trinity</w:t>
      </w:r>
    </w:p>
    <w:p w:rsidR="00B45EEE" w:rsidRPr="00360F23" w:rsidRDefault="00B45EEE" w:rsidP="00B45EEE">
      <w:pPr>
        <w:autoSpaceDE w:val="0"/>
        <w:autoSpaceDN w:val="0"/>
        <w:rPr>
          <w:color w:val="000000"/>
          <w:sz w:val="20"/>
          <w:szCs w:val="20"/>
          <w:lang w:val="es-MX"/>
        </w:rPr>
      </w:pPr>
      <w:proofErr w:type="gramStart"/>
      <w:r w:rsidRPr="00360F23">
        <w:rPr>
          <w:rFonts w:ascii="Courier New" w:hAnsi="Courier New" w:cs="Courier New"/>
          <w:color w:val="244061"/>
          <w:sz w:val="20"/>
          <w:szCs w:val="20"/>
          <w:lang w:val="es-MX"/>
        </w:rPr>
        <w:t>o</w:t>
      </w:r>
      <w:proofErr w:type="gramEnd"/>
      <w:r w:rsidRPr="00360F23">
        <w:rPr>
          <w:rFonts w:ascii="Courier New" w:hAnsi="Courier New" w:cs="Courier New"/>
          <w:color w:val="244061"/>
          <w:sz w:val="20"/>
          <w:szCs w:val="20"/>
          <w:lang w:val="es-MX"/>
        </w:rPr>
        <w:t xml:space="preserve"> </w:t>
      </w:r>
      <w:r w:rsidRPr="00360F23">
        <w:rPr>
          <w:color w:val="000000"/>
          <w:sz w:val="20"/>
          <w:szCs w:val="20"/>
          <w:lang w:val="es-MX"/>
        </w:rPr>
        <w:t xml:space="preserve">Small </w:t>
      </w:r>
      <w:proofErr w:type="spellStart"/>
      <w:r w:rsidRPr="00360F23">
        <w:rPr>
          <w:color w:val="000000"/>
          <w:sz w:val="20"/>
          <w:szCs w:val="20"/>
          <w:lang w:val="es-MX"/>
        </w:rPr>
        <w:t>MHPs</w:t>
      </w:r>
      <w:proofErr w:type="spellEnd"/>
      <w:r w:rsidRPr="00360F23">
        <w:rPr>
          <w:color w:val="000000"/>
          <w:sz w:val="20"/>
          <w:szCs w:val="20"/>
          <w:lang w:val="es-MX"/>
        </w:rPr>
        <w:t xml:space="preserve"> = El Dorado, Humboldt, Imperial, Kings, Lake, Madera, Mendocino, Napa, Nevada, San</w:t>
      </w:r>
      <w:r w:rsidR="0034620D" w:rsidRPr="00360F23">
        <w:rPr>
          <w:color w:val="000000"/>
          <w:sz w:val="20"/>
          <w:szCs w:val="20"/>
          <w:lang w:val="es-MX"/>
        </w:rPr>
        <w:t xml:space="preserve"> </w:t>
      </w:r>
      <w:r w:rsidRPr="00360F23">
        <w:rPr>
          <w:color w:val="000000"/>
          <w:sz w:val="20"/>
          <w:szCs w:val="20"/>
          <w:lang w:val="es-MX"/>
        </w:rPr>
        <w:t xml:space="preserve">Benito, </w:t>
      </w:r>
      <w:proofErr w:type="spellStart"/>
      <w:r w:rsidRPr="00360F23">
        <w:rPr>
          <w:color w:val="000000"/>
          <w:sz w:val="20"/>
          <w:szCs w:val="20"/>
          <w:lang w:val="es-MX"/>
        </w:rPr>
        <w:t>Shasta</w:t>
      </w:r>
      <w:proofErr w:type="spellEnd"/>
      <w:r w:rsidRPr="00360F23">
        <w:rPr>
          <w:color w:val="000000"/>
          <w:sz w:val="20"/>
          <w:szCs w:val="20"/>
          <w:lang w:val="es-MX"/>
        </w:rPr>
        <w:t xml:space="preserve">, </w:t>
      </w:r>
      <w:proofErr w:type="spellStart"/>
      <w:r w:rsidRPr="00360F23">
        <w:rPr>
          <w:color w:val="000000"/>
          <w:sz w:val="20"/>
          <w:szCs w:val="20"/>
          <w:lang w:val="es-MX"/>
        </w:rPr>
        <w:t>Sutter</w:t>
      </w:r>
      <w:proofErr w:type="spellEnd"/>
      <w:r w:rsidRPr="00360F23">
        <w:rPr>
          <w:color w:val="000000"/>
          <w:sz w:val="20"/>
          <w:szCs w:val="20"/>
          <w:lang w:val="es-MX"/>
        </w:rPr>
        <w:t>/</w:t>
      </w:r>
      <w:proofErr w:type="spellStart"/>
      <w:r w:rsidRPr="00360F23">
        <w:rPr>
          <w:color w:val="000000"/>
          <w:sz w:val="20"/>
          <w:szCs w:val="20"/>
          <w:lang w:val="es-MX"/>
        </w:rPr>
        <w:t>Yuba</w:t>
      </w:r>
      <w:proofErr w:type="spellEnd"/>
      <w:r w:rsidRPr="00360F23">
        <w:rPr>
          <w:color w:val="000000"/>
          <w:sz w:val="20"/>
          <w:szCs w:val="20"/>
          <w:lang w:val="es-MX"/>
        </w:rPr>
        <w:t xml:space="preserve">, </w:t>
      </w:r>
      <w:proofErr w:type="spellStart"/>
      <w:r w:rsidRPr="00360F23">
        <w:rPr>
          <w:color w:val="000000"/>
          <w:sz w:val="20"/>
          <w:szCs w:val="20"/>
          <w:lang w:val="es-MX"/>
        </w:rPr>
        <w:t>Tehama</w:t>
      </w:r>
      <w:proofErr w:type="spellEnd"/>
      <w:r w:rsidRPr="00360F23">
        <w:rPr>
          <w:color w:val="000000"/>
          <w:sz w:val="20"/>
          <w:szCs w:val="20"/>
          <w:lang w:val="es-MX"/>
        </w:rPr>
        <w:t xml:space="preserve">, </w:t>
      </w:r>
      <w:proofErr w:type="spellStart"/>
      <w:r w:rsidRPr="00360F23">
        <w:rPr>
          <w:color w:val="000000"/>
          <w:sz w:val="20"/>
          <w:szCs w:val="20"/>
          <w:lang w:val="es-MX"/>
        </w:rPr>
        <w:t>Tuolumne</w:t>
      </w:r>
      <w:proofErr w:type="spellEnd"/>
    </w:p>
    <w:p w:rsidR="00B45EEE" w:rsidRPr="00360F23" w:rsidRDefault="00B45EEE" w:rsidP="00B45EEE">
      <w:pPr>
        <w:autoSpaceDE w:val="0"/>
        <w:autoSpaceDN w:val="0"/>
        <w:rPr>
          <w:color w:val="000000"/>
          <w:sz w:val="20"/>
          <w:szCs w:val="20"/>
          <w:lang w:val="es-MX"/>
        </w:rPr>
      </w:pPr>
      <w:proofErr w:type="gramStart"/>
      <w:r w:rsidRPr="00360F23">
        <w:rPr>
          <w:rFonts w:ascii="Courier New" w:hAnsi="Courier New" w:cs="Courier New"/>
          <w:color w:val="244061"/>
          <w:sz w:val="20"/>
          <w:szCs w:val="20"/>
          <w:lang w:val="es-MX"/>
        </w:rPr>
        <w:t>o</w:t>
      </w:r>
      <w:proofErr w:type="gramEnd"/>
      <w:r w:rsidRPr="00360F23">
        <w:rPr>
          <w:rFonts w:ascii="Courier New" w:hAnsi="Courier New" w:cs="Courier New"/>
          <w:color w:val="244061"/>
          <w:sz w:val="20"/>
          <w:szCs w:val="20"/>
          <w:lang w:val="es-MX"/>
        </w:rPr>
        <w:t xml:space="preserve"> </w:t>
      </w:r>
      <w:r w:rsidRPr="00360F23">
        <w:rPr>
          <w:color w:val="000000"/>
          <w:sz w:val="20"/>
          <w:szCs w:val="20"/>
          <w:lang w:val="es-MX"/>
        </w:rPr>
        <w:t xml:space="preserve">Medium </w:t>
      </w:r>
      <w:proofErr w:type="spellStart"/>
      <w:r w:rsidRPr="00360F23">
        <w:rPr>
          <w:color w:val="000000"/>
          <w:sz w:val="20"/>
          <w:szCs w:val="20"/>
          <w:lang w:val="es-MX"/>
        </w:rPr>
        <w:t>MHPs</w:t>
      </w:r>
      <w:proofErr w:type="spellEnd"/>
      <w:r w:rsidRPr="00360F23">
        <w:rPr>
          <w:color w:val="000000"/>
          <w:sz w:val="20"/>
          <w:szCs w:val="20"/>
          <w:lang w:val="es-MX"/>
        </w:rPr>
        <w:t xml:space="preserve"> = Butte, </w:t>
      </w:r>
      <w:proofErr w:type="spellStart"/>
      <w:r w:rsidRPr="00360F23">
        <w:rPr>
          <w:color w:val="000000"/>
          <w:sz w:val="20"/>
          <w:szCs w:val="20"/>
          <w:lang w:val="es-MX"/>
        </w:rPr>
        <w:t>Marin</w:t>
      </w:r>
      <w:proofErr w:type="spellEnd"/>
      <w:r w:rsidRPr="00360F23">
        <w:rPr>
          <w:color w:val="000000"/>
          <w:sz w:val="20"/>
          <w:szCs w:val="20"/>
          <w:lang w:val="es-MX"/>
        </w:rPr>
        <w:t xml:space="preserve">, Merced, Monterey, Placer/Sierra, San </w:t>
      </w:r>
      <w:proofErr w:type="spellStart"/>
      <w:r w:rsidRPr="00360F23">
        <w:rPr>
          <w:color w:val="000000"/>
          <w:sz w:val="20"/>
          <w:szCs w:val="20"/>
          <w:lang w:val="es-MX"/>
        </w:rPr>
        <w:t>Joaquin</w:t>
      </w:r>
      <w:proofErr w:type="spellEnd"/>
      <w:r w:rsidRPr="00360F23">
        <w:rPr>
          <w:color w:val="000000"/>
          <w:sz w:val="20"/>
          <w:szCs w:val="20"/>
          <w:lang w:val="es-MX"/>
        </w:rPr>
        <w:t xml:space="preserve">, San Luis Obispo, San Mateo, Santa Barbara, Santa Cruz, Solano, Sonoma, </w:t>
      </w:r>
      <w:proofErr w:type="spellStart"/>
      <w:r w:rsidRPr="00360F23">
        <w:rPr>
          <w:color w:val="000000"/>
          <w:sz w:val="20"/>
          <w:szCs w:val="20"/>
          <w:lang w:val="es-MX"/>
        </w:rPr>
        <w:t>Stanislaus</w:t>
      </w:r>
      <w:proofErr w:type="spellEnd"/>
      <w:r w:rsidRPr="00360F23">
        <w:rPr>
          <w:color w:val="000000"/>
          <w:sz w:val="20"/>
          <w:szCs w:val="20"/>
          <w:lang w:val="es-MX"/>
        </w:rPr>
        <w:t xml:space="preserve">, </w:t>
      </w:r>
      <w:proofErr w:type="spellStart"/>
      <w:r w:rsidRPr="00360F23">
        <w:rPr>
          <w:color w:val="000000"/>
          <w:sz w:val="20"/>
          <w:szCs w:val="20"/>
          <w:lang w:val="es-MX"/>
        </w:rPr>
        <w:t>Tulare</w:t>
      </w:r>
      <w:proofErr w:type="spellEnd"/>
      <w:r w:rsidRPr="00360F23">
        <w:rPr>
          <w:color w:val="000000"/>
          <w:sz w:val="20"/>
          <w:szCs w:val="20"/>
          <w:lang w:val="es-MX"/>
        </w:rPr>
        <w:t>, Yolo</w:t>
      </w:r>
    </w:p>
    <w:p w:rsidR="00B45EEE" w:rsidRPr="00360F23" w:rsidRDefault="00B45EEE" w:rsidP="00B45EEE">
      <w:pPr>
        <w:autoSpaceDE w:val="0"/>
        <w:autoSpaceDN w:val="0"/>
        <w:rPr>
          <w:color w:val="000000"/>
          <w:sz w:val="20"/>
          <w:szCs w:val="20"/>
          <w:lang w:val="es-MX"/>
        </w:rPr>
      </w:pPr>
      <w:proofErr w:type="gramStart"/>
      <w:r w:rsidRPr="00360F23">
        <w:rPr>
          <w:rFonts w:ascii="Courier New" w:hAnsi="Courier New" w:cs="Courier New"/>
          <w:color w:val="244061"/>
          <w:sz w:val="20"/>
          <w:szCs w:val="20"/>
          <w:lang w:val="es-MX"/>
        </w:rPr>
        <w:t>o</w:t>
      </w:r>
      <w:proofErr w:type="gramEnd"/>
      <w:r w:rsidRPr="00360F23">
        <w:rPr>
          <w:rFonts w:ascii="Courier New" w:hAnsi="Courier New" w:cs="Courier New"/>
          <w:color w:val="244061"/>
          <w:sz w:val="20"/>
          <w:szCs w:val="20"/>
          <w:lang w:val="es-MX"/>
        </w:rPr>
        <w:t xml:space="preserve"> </w:t>
      </w:r>
      <w:proofErr w:type="spellStart"/>
      <w:r w:rsidRPr="00360F23">
        <w:rPr>
          <w:color w:val="000000"/>
          <w:sz w:val="20"/>
          <w:szCs w:val="20"/>
          <w:lang w:val="es-MX"/>
        </w:rPr>
        <w:t>Large</w:t>
      </w:r>
      <w:proofErr w:type="spellEnd"/>
      <w:r w:rsidRPr="00360F23">
        <w:rPr>
          <w:color w:val="000000"/>
          <w:sz w:val="20"/>
          <w:szCs w:val="20"/>
          <w:lang w:val="es-MX"/>
        </w:rPr>
        <w:t xml:space="preserve"> </w:t>
      </w:r>
      <w:proofErr w:type="spellStart"/>
      <w:r w:rsidRPr="00360F23">
        <w:rPr>
          <w:color w:val="000000"/>
          <w:sz w:val="20"/>
          <w:szCs w:val="20"/>
          <w:lang w:val="es-MX"/>
        </w:rPr>
        <w:t>MHPs</w:t>
      </w:r>
      <w:proofErr w:type="spellEnd"/>
      <w:r w:rsidRPr="00360F23">
        <w:rPr>
          <w:color w:val="000000"/>
          <w:sz w:val="20"/>
          <w:szCs w:val="20"/>
          <w:lang w:val="es-MX"/>
        </w:rPr>
        <w:t xml:space="preserve"> = Alameda, Contra Costa, Fresno, Kern, Orange, Riverside, Sacramento, San Bernardino, San Diego, San Francisco, Santa Clara, Ventura</w:t>
      </w:r>
    </w:p>
    <w:p w:rsidR="00B45EEE" w:rsidRDefault="00B45EEE" w:rsidP="00B45EEE">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B45EEE" w:rsidRDefault="00B45EEE" w:rsidP="00B45EEE">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rsidR="001633F6" w:rsidRDefault="001633F6" w:rsidP="00B45EEE">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F86FBF" w:rsidP="002A39D1">
      <w:pPr>
        <w:rPr>
          <w:b/>
        </w:rPr>
      </w:pPr>
      <w:hyperlink r:id="rId23"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4"/>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el Gorodezky" w:date="2014-08-19T15:07:00Z" w:initials="MG">
    <w:p w:rsidR="00DF0E41" w:rsidRDefault="00DF0E41">
      <w:pPr>
        <w:pStyle w:val="CommentText"/>
      </w:pPr>
      <w:r>
        <w:rPr>
          <w:rStyle w:val="CommentReference"/>
        </w:rPr>
        <w:annotationRef/>
      </w:r>
      <w:r>
        <w:t>Responses for 9</w:t>
      </w:r>
      <w:proofErr w:type="gramStart"/>
      <w:r>
        <w:t>,10,11</w:t>
      </w:r>
      <w:proofErr w:type="gramEnd"/>
      <w:r>
        <w:t xml:space="preserve"> from </w:t>
      </w:r>
      <w:proofErr w:type="spellStart"/>
      <w:r>
        <w:t>Cuco</w:t>
      </w:r>
      <w:proofErr w:type="spellEnd"/>
      <w:r>
        <w:t xml:space="preserve"> reflecting work of existing committees in ADMHS and MHC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BF" w:rsidRDefault="00F86FBF" w:rsidP="001633F6">
      <w:pPr>
        <w:spacing w:after="0" w:line="240" w:lineRule="auto"/>
      </w:pPr>
      <w:r>
        <w:separator/>
      </w:r>
    </w:p>
  </w:endnote>
  <w:endnote w:type="continuationSeparator" w:id="0">
    <w:p w:rsidR="00F86FBF" w:rsidRDefault="00F86FBF"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MT Black">
    <w:altName w:val="Superclarendon Black"/>
    <w:panose1 w:val="02070A03080606020203"/>
    <w:charset w:val="00"/>
    <w:family w:val="roman"/>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923210">
          <w:rPr>
            <w:noProof/>
          </w:rPr>
          <w:t>22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BF" w:rsidRDefault="00F86FBF" w:rsidP="001633F6">
      <w:pPr>
        <w:spacing w:after="0" w:line="240" w:lineRule="auto"/>
      </w:pPr>
      <w:r>
        <w:separator/>
      </w:r>
    </w:p>
  </w:footnote>
  <w:footnote w:type="continuationSeparator" w:id="0">
    <w:p w:rsidR="00F86FBF" w:rsidRDefault="00F86FBF"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E812B5"/>
    <w:multiLevelType w:val="hybridMultilevel"/>
    <w:tmpl w:val="2F60F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1D7F2D"/>
    <w:multiLevelType w:val="hybridMultilevel"/>
    <w:tmpl w:val="6C1C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
  </w:num>
  <w:num w:numId="3">
    <w:abstractNumId w:val="19"/>
  </w:num>
  <w:num w:numId="4">
    <w:abstractNumId w:val="18"/>
  </w:num>
  <w:num w:numId="5">
    <w:abstractNumId w:val="13"/>
  </w:num>
  <w:num w:numId="6">
    <w:abstractNumId w:val="25"/>
  </w:num>
  <w:num w:numId="7">
    <w:abstractNumId w:val="21"/>
  </w:num>
  <w:num w:numId="8">
    <w:abstractNumId w:val="22"/>
  </w:num>
  <w:num w:numId="9">
    <w:abstractNumId w:val="4"/>
  </w:num>
  <w:num w:numId="10">
    <w:abstractNumId w:val="12"/>
  </w:num>
  <w:num w:numId="11">
    <w:abstractNumId w:val="26"/>
  </w:num>
  <w:num w:numId="12">
    <w:abstractNumId w:val="16"/>
  </w:num>
  <w:num w:numId="13">
    <w:abstractNumId w:val="11"/>
  </w:num>
  <w:num w:numId="14">
    <w:abstractNumId w:val="8"/>
  </w:num>
  <w:num w:numId="15">
    <w:abstractNumId w:val="31"/>
  </w:num>
  <w:num w:numId="16">
    <w:abstractNumId w:val="15"/>
  </w:num>
  <w:num w:numId="17">
    <w:abstractNumId w:val="27"/>
  </w:num>
  <w:num w:numId="18">
    <w:abstractNumId w:val="2"/>
  </w:num>
  <w:num w:numId="19">
    <w:abstractNumId w:val="17"/>
  </w:num>
  <w:num w:numId="20">
    <w:abstractNumId w:val="24"/>
  </w:num>
  <w:num w:numId="21">
    <w:abstractNumId w:val="30"/>
  </w:num>
  <w:num w:numId="22">
    <w:abstractNumId w:val="14"/>
  </w:num>
  <w:num w:numId="23">
    <w:abstractNumId w:val="7"/>
  </w:num>
  <w:num w:numId="24">
    <w:abstractNumId w:val="29"/>
  </w:num>
  <w:num w:numId="25">
    <w:abstractNumId w:val="23"/>
  </w:num>
  <w:num w:numId="26">
    <w:abstractNumId w:val="3"/>
  </w:num>
  <w:num w:numId="27">
    <w:abstractNumId w:val="0"/>
  </w:num>
  <w:num w:numId="28">
    <w:abstractNumId w:val="28"/>
  </w:num>
  <w:num w:numId="29">
    <w:abstractNumId w:val="20"/>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658FC"/>
    <w:rsid w:val="00073774"/>
    <w:rsid w:val="000B73A4"/>
    <w:rsid w:val="000D07AE"/>
    <w:rsid w:val="000F4FD0"/>
    <w:rsid w:val="00104C08"/>
    <w:rsid w:val="00111FEB"/>
    <w:rsid w:val="00146D04"/>
    <w:rsid w:val="00147650"/>
    <w:rsid w:val="00152E3F"/>
    <w:rsid w:val="00161093"/>
    <w:rsid w:val="001633F6"/>
    <w:rsid w:val="00187E53"/>
    <w:rsid w:val="001B4EE0"/>
    <w:rsid w:val="001C4A7D"/>
    <w:rsid w:val="001C5311"/>
    <w:rsid w:val="001C6F3E"/>
    <w:rsid w:val="001D000F"/>
    <w:rsid w:val="00206823"/>
    <w:rsid w:val="002161A3"/>
    <w:rsid w:val="002272B4"/>
    <w:rsid w:val="002347A6"/>
    <w:rsid w:val="002526FB"/>
    <w:rsid w:val="002741C1"/>
    <w:rsid w:val="0029557D"/>
    <w:rsid w:val="0029778A"/>
    <w:rsid w:val="002A39D1"/>
    <w:rsid w:val="002B06BA"/>
    <w:rsid w:val="002B191A"/>
    <w:rsid w:val="002C1D41"/>
    <w:rsid w:val="002C1F27"/>
    <w:rsid w:val="002C2658"/>
    <w:rsid w:val="002C5FFA"/>
    <w:rsid w:val="002D0D1B"/>
    <w:rsid w:val="002D2E20"/>
    <w:rsid w:val="00314FF1"/>
    <w:rsid w:val="003152DB"/>
    <w:rsid w:val="003259DD"/>
    <w:rsid w:val="00342BA8"/>
    <w:rsid w:val="0034620D"/>
    <w:rsid w:val="00357FCB"/>
    <w:rsid w:val="00360F23"/>
    <w:rsid w:val="003644DB"/>
    <w:rsid w:val="00367E4E"/>
    <w:rsid w:val="003755D4"/>
    <w:rsid w:val="003824ED"/>
    <w:rsid w:val="003A0022"/>
    <w:rsid w:val="003A5615"/>
    <w:rsid w:val="003B0B36"/>
    <w:rsid w:val="003B5FB9"/>
    <w:rsid w:val="003C0EF2"/>
    <w:rsid w:val="003E2B04"/>
    <w:rsid w:val="003E5B2E"/>
    <w:rsid w:val="0040228C"/>
    <w:rsid w:val="004045F0"/>
    <w:rsid w:val="00411F03"/>
    <w:rsid w:val="00423653"/>
    <w:rsid w:val="00427D32"/>
    <w:rsid w:val="00431428"/>
    <w:rsid w:val="00436CF0"/>
    <w:rsid w:val="00445920"/>
    <w:rsid w:val="00464DC8"/>
    <w:rsid w:val="00480813"/>
    <w:rsid w:val="0048474A"/>
    <w:rsid w:val="00490151"/>
    <w:rsid w:val="004C02EC"/>
    <w:rsid w:val="004C0893"/>
    <w:rsid w:val="004C2E42"/>
    <w:rsid w:val="004D126D"/>
    <w:rsid w:val="004D2317"/>
    <w:rsid w:val="004E2CD7"/>
    <w:rsid w:val="004F19A8"/>
    <w:rsid w:val="005243AD"/>
    <w:rsid w:val="005369F2"/>
    <w:rsid w:val="005554A1"/>
    <w:rsid w:val="0058072F"/>
    <w:rsid w:val="00584ABF"/>
    <w:rsid w:val="00585369"/>
    <w:rsid w:val="00590BF6"/>
    <w:rsid w:val="005A71AE"/>
    <w:rsid w:val="005B3EAA"/>
    <w:rsid w:val="005B4E3D"/>
    <w:rsid w:val="005C3731"/>
    <w:rsid w:val="005D6380"/>
    <w:rsid w:val="005E1B03"/>
    <w:rsid w:val="005E493B"/>
    <w:rsid w:val="005F1FFA"/>
    <w:rsid w:val="00600E3E"/>
    <w:rsid w:val="00601364"/>
    <w:rsid w:val="0060599D"/>
    <w:rsid w:val="006254F8"/>
    <w:rsid w:val="006310CD"/>
    <w:rsid w:val="00657F5C"/>
    <w:rsid w:val="0066101F"/>
    <w:rsid w:val="006867F9"/>
    <w:rsid w:val="006B2BB9"/>
    <w:rsid w:val="006B5DF8"/>
    <w:rsid w:val="006C0082"/>
    <w:rsid w:val="006D3461"/>
    <w:rsid w:val="006E1398"/>
    <w:rsid w:val="006F59A4"/>
    <w:rsid w:val="00726A10"/>
    <w:rsid w:val="00734CCC"/>
    <w:rsid w:val="00746BA7"/>
    <w:rsid w:val="007573C0"/>
    <w:rsid w:val="00761489"/>
    <w:rsid w:val="007756D4"/>
    <w:rsid w:val="00792486"/>
    <w:rsid w:val="0079331B"/>
    <w:rsid w:val="00795A53"/>
    <w:rsid w:val="007B0FE3"/>
    <w:rsid w:val="007D2B61"/>
    <w:rsid w:val="007D65C5"/>
    <w:rsid w:val="007E57FA"/>
    <w:rsid w:val="007E6BC3"/>
    <w:rsid w:val="007F2D99"/>
    <w:rsid w:val="00807B75"/>
    <w:rsid w:val="00822315"/>
    <w:rsid w:val="00835B87"/>
    <w:rsid w:val="008423B9"/>
    <w:rsid w:val="00842DD4"/>
    <w:rsid w:val="008436AA"/>
    <w:rsid w:val="008518A1"/>
    <w:rsid w:val="008902AE"/>
    <w:rsid w:val="00892086"/>
    <w:rsid w:val="008949EC"/>
    <w:rsid w:val="008A572A"/>
    <w:rsid w:val="008D6F52"/>
    <w:rsid w:val="008E177E"/>
    <w:rsid w:val="0091007B"/>
    <w:rsid w:val="009167CF"/>
    <w:rsid w:val="00923210"/>
    <w:rsid w:val="0093336B"/>
    <w:rsid w:val="00936EC1"/>
    <w:rsid w:val="00951B6C"/>
    <w:rsid w:val="009969F0"/>
    <w:rsid w:val="009A17A0"/>
    <w:rsid w:val="009B6052"/>
    <w:rsid w:val="009C002A"/>
    <w:rsid w:val="009C4BE4"/>
    <w:rsid w:val="009D1AFE"/>
    <w:rsid w:val="009D6E26"/>
    <w:rsid w:val="009F0215"/>
    <w:rsid w:val="00A00DE9"/>
    <w:rsid w:val="00A01841"/>
    <w:rsid w:val="00A06EDA"/>
    <w:rsid w:val="00A20F18"/>
    <w:rsid w:val="00A332B3"/>
    <w:rsid w:val="00A43445"/>
    <w:rsid w:val="00A62A85"/>
    <w:rsid w:val="00A63FB0"/>
    <w:rsid w:val="00A653DF"/>
    <w:rsid w:val="00A67A65"/>
    <w:rsid w:val="00A70FFB"/>
    <w:rsid w:val="00A836DF"/>
    <w:rsid w:val="00A83C56"/>
    <w:rsid w:val="00A86045"/>
    <w:rsid w:val="00A90059"/>
    <w:rsid w:val="00A93967"/>
    <w:rsid w:val="00AA5263"/>
    <w:rsid w:val="00AD6738"/>
    <w:rsid w:val="00AE7F98"/>
    <w:rsid w:val="00AF672B"/>
    <w:rsid w:val="00B03D2A"/>
    <w:rsid w:val="00B07512"/>
    <w:rsid w:val="00B10D78"/>
    <w:rsid w:val="00B127E9"/>
    <w:rsid w:val="00B45EEE"/>
    <w:rsid w:val="00B76AB0"/>
    <w:rsid w:val="00B82CF3"/>
    <w:rsid w:val="00BE19D2"/>
    <w:rsid w:val="00BE7786"/>
    <w:rsid w:val="00BE7ED7"/>
    <w:rsid w:val="00BF3D46"/>
    <w:rsid w:val="00BF3EC3"/>
    <w:rsid w:val="00BF5CC4"/>
    <w:rsid w:val="00C04621"/>
    <w:rsid w:val="00C06762"/>
    <w:rsid w:val="00C2429A"/>
    <w:rsid w:val="00C25D85"/>
    <w:rsid w:val="00C26531"/>
    <w:rsid w:val="00C37241"/>
    <w:rsid w:val="00C43A43"/>
    <w:rsid w:val="00C64947"/>
    <w:rsid w:val="00C657CF"/>
    <w:rsid w:val="00C91363"/>
    <w:rsid w:val="00C962E2"/>
    <w:rsid w:val="00C9662B"/>
    <w:rsid w:val="00CB31BC"/>
    <w:rsid w:val="00CB379E"/>
    <w:rsid w:val="00CB39E5"/>
    <w:rsid w:val="00CC658F"/>
    <w:rsid w:val="00CC7C8D"/>
    <w:rsid w:val="00CD4B6A"/>
    <w:rsid w:val="00CD7422"/>
    <w:rsid w:val="00CE33F9"/>
    <w:rsid w:val="00CE5D50"/>
    <w:rsid w:val="00CF52E0"/>
    <w:rsid w:val="00D05B12"/>
    <w:rsid w:val="00D05CD4"/>
    <w:rsid w:val="00D06E9B"/>
    <w:rsid w:val="00D35E98"/>
    <w:rsid w:val="00D43FF0"/>
    <w:rsid w:val="00D61FF8"/>
    <w:rsid w:val="00D62352"/>
    <w:rsid w:val="00D64A05"/>
    <w:rsid w:val="00D70BC4"/>
    <w:rsid w:val="00D92982"/>
    <w:rsid w:val="00D95115"/>
    <w:rsid w:val="00D979EA"/>
    <w:rsid w:val="00DB07F8"/>
    <w:rsid w:val="00DB4B65"/>
    <w:rsid w:val="00DC3F8C"/>
    <w:rsid w:val="00DE7DD4"/>
    <w:rsid w:val="00DF0E41"/>
    <w:rsid w:val="00E4057A"/>
    <w:rsid w:val="00E45C46"/>
    <w:rsid w:val="00E50DE2"/>
    <w:rsid w:val="00E50F42"/>
    <w:rsid w:val="00E51D4B"/>
    <w:rsid w:val="00E71203"/>
    <w:rsid w:val="00E73A9B"/>
    <w:rsid w:val="00EB05FD"/>
    <w:rsid w:val="00ED45DC"/>
    <w:rsid w:val="00EE1FB3"/>
    <w:rsid w:val="00EE4124"/>
    <w:rsid w:val="00EF57C6"/>
    <w:rsid w:val="00F0699C"/>
    <w:rsid w:val="00F2267D"/>
    <w:rsid w:val="00F227C1"/>
    <w:rsid w:val="00F37D8E"/>
    <w:rsid w:val="00F4327E"/>
    <w:rsid w:val="00F53D08"/>
    <w:rsid w:val="00F639CE"/>
    <w:rsid w:val="00F647E3"/>
    <w:rsid w:val="00F825BA"/>
    <w:rsid w:val="00F83EEA"/>
    <w:rsid w:val="00F86FBF"/>
    <w:rsid w:val="00F87EC2"/>
    <w:rsid w:val="00FA34CD"/>
    <w:rsid w:val="00FA63E7"/>
    <w:rsid w:val="00FB173C"/>
    <w:rsid w:val="00FC6D67"/>
    <w:rsid w:val="00FE4CF2"/>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A4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E41"/>
    <w:rPr>
      <w:sz w:val="18"/>
      <w:szCs w:val="18"/>
    </w:rPr>
  </w:style>
  <w:style w:type="paragraph" w:styleId="CommentText">
    <w:name w:val="annotation text"/>
    <w:basedOn w:val="Normal"/>
    <w:link w:val="CommentTextChar"/>
    <w:uiPriority w:val="99"/>
    <w:semiHidden/>
    <w:unhideWhenUsed/>
    <w:rsid w:val="00DF0E41"/>
    <w:pPr>
      <w:spacing w:line="240" w:lineRule="auto"/>
    </w:pPr>
  </w:style>
  <w:style w:type="character" w:customStyle="1" w:styleId="CommentTextChar">
    <w:name w:val="Comment Text Char"/>
    <w:basedOn w:val="DefaultParagraphFont"/>
    <w:link w:val="CommentText"/>
    <w:uiPriority w:val="99"/>
    <w:semiHidden/>
    <w:rsid w:val="00DF0E41"/>
  </w:style>
  <w:style w:type="paragraph" w:styleId="CommentSubject">
    <w:name w:val="annotation subject"/>
    <w:basedOn w:val="CommentText"/>
    <w:next w:val="CommentText"/>
    <w:link w:val="CommentSubjectChar"/>
    <w:uiPriority w:val="99"/>
    <w:semiHidden/>
    <w:unhideWhenUsed/>
    <w:rsid w:val="00DF0E41"/>
    <w:rPr>
      <w:b/>
      <w:bCs/>
      <w:sz w:val="20"/>
      <w:szCs w:val="20"/>
    </w:rPr>
  </w:style>
  <w:style w:type="character" w:customStyle="1" w:styleId="CommentSubjectChar">
    <w:name w:val="Comment Subject Char"/>
    <w:basedOn w:val="CommentTextChar"/>
    <w:link w:val="CommentSubject"/>
    <w:uiPriority w:val="99"/>
    <w:semiHidden/>
    <w:rsid w:val="00DF0E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A4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E41"/>
    <w:rPr>
      <w:sz w:val="18"/>
      <w:szCs w:val="18"/>
    </w:rPr>
  </w:style>
  <w:style w:type="paragraph" w:styleId="CommentText">
    <w:name w:val="annotation text"/>
    <w:basedOn w:val="Normal"/>
    <w:link w:val="CommentTextChar"/>
    <w:uiPriority w:val="99"/>
    <w:semiHidden/>
    <w:unhideWhenUsed/>
    <w:rsid w:val="00DF0E41"/>
    <w:pPr>
      <w:spacing w:line="240" w:lineRule="auto"/>
    </w:pPr>
  </w:style>
  <w:style w:type="character" w:customStyle="1" w:styleId="CommentTextChar">
    <w:name w:val="Comment Text Char"/>
    <w:basedOn w:val="DefaultParagraphFont"/>
    <w:link w:val="CommentText"/>
    <w:uiPriority w:val="99"/>
    <w:semiHidden/>
    <w:rsid w:val="00DF0E41"/>
  </w:style>
  <w:style w:type="paragraph" w:styleId="CommentSubject">
    <w:name w:val="annotation subject"/>
    <w:basedOn w:val="CommentText"/>
    <w:next w:val="CommentText"/>
    <w:link w:val="CommentSubjectChar"/>
    <w:uiPriority w:val="99"/>
    <w:semiHidden/>
    <w:unhideWhenUsed/>
    <w:rsid w:val="00DF0E41"/>
    <w:rPr>
      <w:b/>
      <w:bCs/>
      <w:sz w:val="20"/>
      <w:szCs w:val="20"/>
    </w:rPr>
  </w:style>
  <w:style w:type="character" w:customStyle="1" w:styleId="CommentSubjectChar">
    <w:name w:val="Comment Subject Char"/>
    <w:basedOn w:val="CommentTextChar"/>
    <w:link w:val="CommentSubject"/>
    <w:uiPriority w:val="99"/>
    <w:semiHidden/>
    <w:rsid w:val="00DF0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582520880">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hyperlink" Target="mailto:DataNotebook@CMHPC.CA.GOV" TargetMode="External"/><Relationship Id="rId10" Type="http://schemas.openxmlformats.org/officeDocument/2006/relationships/image" Target="media/image2.pn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D0A5-1D89-4D35-8547-2B13DCC7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2014-09-08T18:19:00Z</cp:lastPrinted>
  <dcterms:created xsi:type="dcterms:W3CDTF">2014-10-06T15:43:00Z</dcterms:created>
  <dcterms:modified xsi:type="dcterms:W3CDTF">2014-10-29T22:06:00Z</dcterms:modified>
</cp:coreProperties>
</file>