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CDCE7" w14:textId="77777777" w:rsidR="00D607D9" w:rsidRPr="006857E5" w:rsidRDefault="006857E5" w:rsidP="00434940">
      <w:pPr>
        <w:tabs>
          <w:tab w:val="left" w:pos="8931"/>
        </w:tabs>
        <w:spacing w:before="67"/>
        <w:ind w:left="1276" w:right="1488"/>
        <w:jc w:val="center"/>
        <w:rPr>
          <w:rFonts w:ascii="Arial"/>
          <w:b/>
          <w:sz w:val="24"/>
          <w:lang w:val="es-VE"/>
        </w:rPr>
      </w:pPr>
      <w:r w:rsidRPr="006857E5">
        <w:rPr>
          <w:rFonts w:ascii="Arial"/>
          <w:b/>
          <w:sz w:val="24"/>
          <w:lang w:val="es-VE"/>
        </w:rPr>
        <w:t xml:space="preserve">MHSA: </w:t>
      </w:r>
      <w:r w:rsidR="00434940" w:rsidRPr="006857E5">
        <w:rPr>
          <w:rFonts w:ascii="Arial"/>
          <w:b/>
          <w:color w:val="2F5496"/>
          <w:sz w:val="24"/>
          <w:lang w:val="es-VE"/>
        </w:rPr>
        <w:t>PLANIFICACI</w:t>
      </w:r>
      <w:r w:rsidR="00434940" w:rsidRPr="006857E5">
        <w:rPr>
          <w:rFonts w:ascii="Arial"/>
          <w:b/>
          <w:color w:val="2F5496"/>
          <w:sz w:val="24"/>
          <w:lang w:val="es-VE"/>
        </w:rPr>
        <w:t>Ó</w:t>
      </w:r>
      <w:r w:rsidR="00434940" w:rsidRPr="006857E5">
        <w:rPr>
          <w:rFonts w:ascii="Arial"/>
          <w:b/>
          <w:color w:val="2F5496"/>
          <w:sz w:val="24"/>
          <w:lang w:val="es-VE"/>
        </w:rPr>
        <w:t>N DE PROGRAMAS COMUNITARIOS (CPP)</w:t>
      </w:r>
    </w:p>
    <w:p w14:paraId="6723555E" w14:textId="77777777" w:rsidR="00434940" w:rsidRPr="006857E5" w:rsidRDefault="00434940" w:rsidP="006857E5">
      <w:pPr>
        <w:pStyle w:val="BodyText"/>
        <w:spacing w:before="178"/>
        <w:ind w:left="279" w:right="283" w:firstLine="5"/>
        <w:jc w:val="both"/>
        <w:rPr>
          <w:lang w:val="es-VE"/>
        </w:rPr>
      </w:pPr>
      <w:r w:rsidRPr="006857E5">
        <w:rPr>
          <w:rFonts w:ascii="Arial"/>
          <w:b/>
          <w:color w:val="2F5496"/>
          <w:sz w:val="22"/>
          <w:lang w:val="es-VE"/>
        </w:rPr>
        <w:t>DEFINICI</w:t>
      </w:r>
      <w:r w:rsidRPr="006857E5">
        <w:rPr>
          <w:rFonts w:ascii="Arial"/>
          <w:b/>
          <w:color w:val="2F5496"/>
          <w:sz w:val="22"/>
          <w:lang w:val="es-VE"/>
        </w:rPr>
        <w:t>Ó</w:t>
      </w:r>
      <w:r w:rsidR="006857E5" w:rsidRPr="006857E5">
        <w:rPr>
          <w:rFonts w:ascii="Arial"/>
          <w:b/>
          <w:color w:val="2F5496"/>
          <w:sz w:val="22"/>
          <w:lang w:val="es-VE"/>
        </w:rPr>
        <w:t xml:space="preserve">N: </w:t>
      </w:r>
      <w:r w:rsidRPr="006857E5">
        <w:rPr>
          <w:lang w:val="es-VE"/>
        </w:rPr>
        <w:t>La Planifica</w:t>
      </w:r>
      <w:r w:rsidR="00D7741B">
        <w:rPr>
          <w:lang w:val="es-VE"/>
        </w:rPr>
        <w:t>ción del Programa Comunitario (</w:t>
      </w:r>
      <w:r w:rsidRPr="006857E5">
        <w:rPr>
          <w:lang w:val="es-VE"/>
        </w:rPr>
        <w:t>PP</w:t>
      </w:r>
      <w:r w:rsidR="00D7741B">
        <w:rPr>
          <w:lang w:val="es-VE"/>
        </w:rPr>
        <w:t>C</w:t>
      </w:r>
      <w:r w:rsidRPr="006857E5">
        <w:rPr>
          <w:lang w:val="es-VE"/>
        </w:rPr>
        <w:t>) es el proceso de colaboración de la comunidad, ordenado por el estado, que se utiliza para: evaluar la capacidad actual, definir las poblaciones a las que se va a prestar servicio y determinar las estrategias para proporcionar programas eficaces financiados por MHSA que sean: 1) Culturalmente competentes; 2) Dirigidos por el cliente y la familia; 3) Enfocados en el bienestar, la recuperación y la resistencia; y 4) Proporcionar una experiencia de servicio integrada para los clientes y sus familias. *(Ver abajo para el código del estado (CCR y WIC).)</w:t>
      </w:r>
    </w:p>
    <w:p w14:paraId="518EF3FA" w14:textId="77777777" w:rsidR="00D607D9" w:rsidRPr="006857E5" w:rsidRDefault="006857E5">
      <w:pPr>
        <w:spacing w:before="188"/>
        <w:ind w:left="280"/>
        <w:rPr>
          <w:rFonts w:ascii="Arial"/>
          <w:b/>
          <w:lang w:val="es-VE"/>
        </w:rPr>
      </w:pPr>
      <w:r w:rsidRPr="006857E5">
        <w:rPr>
          <w:rFonts w:ascii="Arial"/>
          <w:b/>
          <w:color w:val="2F5496"/>
          <w:lang w:val="es-VE"/>
        </w:rPr>
        <w:t>PARTICIPANT</w:t>
      </w:r>
      <w:r w:rsidR="00434940" w:rsidRPr="006857E5">
        <w:rPr>
          <w:rFonts w:ascii="Arial"/>
          <w:b/>
          <w:color w:val="2F5496"/>
          <w:lang w:val="es-VE"/>
        </w:rPr>
        <w:t>E</w:t>
      </w:r>
      <w:r w:rsidRPr="006857E5">
        <w:rPr>
          <w:rFonts w:ascii="Arial"/>
          <w:b/>
          <w:color w:val="2F5496"/>
          <w:lang w:val="es-VE"/>
        </w:rPr>
        <w:t>S</w:t>
      </w:r>
    </w:p>
    <w:p w14:paraId="7432AF2F" w14:textId="77777777" w:rsidR="00D607D9" w:rsidRPr="006857E5" w:rsidRDefault="00434940">
      <w:pPr>
        <w:pStyle w:val="ListParagraph"/>
        <w:numPr>
          <w:ilvl w:val="0"/>
          <w:numId w:val="4"/>
        </w:numPr>
        <w:tabs>
          <w:tab w:val="left" w:pos="640"/>
        </w:tabs>
        <w:spacing w:before="69"/>
        <w:jc w:val="left"/>
        <w:rPr>
          <w:rFonts w:ascii="Arial"/>
          <w:b/>
          <w:color w:val="1C1C1C"/>
          <w:lang w:val="es-VE"/>
        </w:rPr>
      </w:pPr>
      <w:r w:rsidRPr="006857E5">
        <w:rPr>
          <w:rFonts w:ascii="Arial"/>
          <w:b/>
          <w:lang w:val="es-VE"/>
        </w:rPr>
        <w:t>Partes Interesadas</w:t>
      </w:r>
    </w:p>
    <w:p w14:paraId="57779775" w14:textId="77777777" w:rsidR="00D607D9" w:rsidRPr="006857E5" w:rsidRDefault="00D607D9">
      <w:pPr>
        <w:rPr>
          <w:rFonts w:ascii="Arial"/>
          <w:lang w:val="es-VE"/>
        </w:rPr>
        <w:sectPr w:rsidR="00D607D9" w:rsidRPr="006857E5" w:rsidSect="00A67B9E">
          <w:type w:val="continuous"/>
          <w:pgSz w:w="12240" w:h="15840"/>
          <w:pgMar w:top="450" w:right="700" w:bottom="280" w:left="980" w:header="720" w:footer="720" w:gutter="0"/>
          <w:cols w:space="720"/>
        </w:sectPr>
      </w:pPr>
    </w:p>
    <w:p w14:paraId="21FA473C" w14:textId="77777777" w:rsidR="00D607D9" w:rsidRPr="006857E5" w:rsidRDefault="00434940" w:rsidP="00434940">
      <w:pPr>
        <w:pStyle w:val="ListParagraph"/>
        <w:numPr>
          <w:ilvl w:val="1"/>
          <w:numId w:val="4"/>
        </w:numPr>
        <w:tabs>
          <w:tab w:val="left" w:pos="1540"/>
        </w:tabs>
        <w:ind w:right="307"/>
        <w:jc w:val="left"/>
        <w:rPr>
          <w:sz w:val="24"/>
          <w:lang w:val="es-VE"/>
        </w:rPr>
      </w:pPr>
      <w:r w:rsidRPr="006857E5">
        <w:rPr>
          <w:sz w:val="24"/>
          <w:lang w:val="es-VE"/>
        </w:rPr>
        <w:t>Adultos y ancianos con enfermedades mentales severas (SMI)</w:t>
      </w:r>
    </w:p>
    <w:p w14:paraId="198B9992" w14:textId="77777777" w:rsidR="00D607D9" w:rsidRPr="006857E5" w:rsidRDefault="00F31990" w:rsidP="00F31990">
      <w:pPr>
        <w:pStyle w:val="ListParagraph"/>
        <w:numPr>
          <w:ilvl w:val="1"/>
          <w:numId w:val="4"/>
        </w:numPr>
        <w:tabs>
          <w:tab w:val="left" w:pos="1540"/>
        </w:tabs>
        <w:ind w:right="257"/>
        <w:jc w:val="left"/>
        <w:rPr>
          <w:sz w:val="24"/>
          <w:lang w:val="es-VE"/>
        </w:rPr>
      </w:pPr>
      <w:r w:rsidRPr="006857E5">
        <w:rPr>
          <w:sz w:val="24"/>
          <w:lang w:val="es-VE"/>
        </w:rPr>
        <w:t>Familias de niños, adultos y ancianos con SMI</w:t>
      </w:r>
    </w:p>
    <w:p w14:paraId="1B8F488A" w14:textId="77777777" w:rsidR="00D607D9" w:rsidRPr="006857E5" w:rsidRDefault="00F31990" w:rsidP="00F31990">
      <w:pPr>
        <w:pStyle w:val="ListParagraph"/>
        <w:numPr>
          <w:ilvl w:val="1"/>
          <w:numId w:val="4"/>
        </w:numPr>
        <w:tabs>
          <w:tab w:val="left" w:pos="1540"/>
        </w:tabs>
        <w:jc w:val="left"/>
        <w:rPr>
          <w:sz w:val="24"/>
          <w:lang w:val="es-VE"/>
        </w:rPr>
      </w:pPr>
      <w:r w:rsidRPr="006857E5">
        <w:rPr>
          <w:sz w:val="24"/>
          <w:lang w:val="es-VE"/>
        </w:rPr>
        <w:t>Proveedores de servicios de salud mental y/o servicios relacionados</w:t>
      </w:r>
    </w:p>
    <w:p w14:paraId="62DE8915" w14:textId="77777777" w:rsidR="00D607D9" w:rsidRPr="006857E5" w:rsidRDefault="00F31990" w:rsidP="00F31990">
      <w:pPr>
        <w:pStyle w:val="ListParagraph"/>
        <w:numPr>
          <w:ilvl w:val="1"/>
          <w:numId w:val="4"/>
        </w:numPr>
        <w:tabs>
          <w:tab w:val="left" w:pos="1540"/>
        </w:tabs>
        <w:jc w:val="left"/>
        <w:rPr>
          <w:sz w:val="24"/>
          <w:lang w:val="es-VE"/>
        </w:rPr>
      </w:pPr>
      <w:r w:rsidRPr="006857E5">
        <w:rPr>
          <w:sz w:val="24"/>
          <w:lang w:val="es-VE"/>
        </w:rPr>
        <w:t>Organismos encargados de hacer cumplir la ley</w:t>
      </w:r>
    </w:p>
    <w:p w14:paraId="0E3DD841" w14:textId="77777777" w:rsidR="00D607D9" w:rsidRPr="006857E5" w:rsidRDefault="006857E5" w:rsidP="00F31990">
      <w:pPr>
        <w:pStyle w:val="ListParagraph"/>
        <w:numPr>
          <w:ilvl w:val="1"/>
          <w:numId w:val="4"/>
        </w:numPr>
        <w:tabs>
          <w:tab w:val="left" w:pos="898"/>
        </w:tabs>
        <w:spacing w:line="272" w:lineRule="exact"/>
        <w:ind w:left="993"/>
        <w:jc w:val="left"/>
        <w:rPr>
          <w:sz w:val="24"/>
          <w:lang w:val="es-VE"/>
        </w:rPr>
      </w:pPr>
      <w:r w:rsidRPr="006857E5">
        <w:rPr>
          <w:spacing w:val="-1"/>
          <w:sz w:val="24"/>
          <w:lang w:val="es-VE"/>
        </w:rPr>
        <w:br w:type="column"/>
      </w:r>
      <w:r w:rsidR="00F31990" w:rsidRPr="006857E5">
        <w:rPr>
          <w:sz w:val="24"/>
          <w:lang w:val="es-VE"/>
        </w:rPr>
        <w:t>Educadores y/o representantes de la educación</w:t>
      </w:r>
    </w:p>
    <w:p w14:paraId="759DDF1F" w14:textId="77777777" w:rsidR="00D607D9" w:rsidRPr="006857E5" w:rsidRDefault="00F31990" w:rsidP="00F31990">
      <w:pPr>
        <w:pStyle w:val="ListParagraph"/>
        <w:numPr>
          <w:ilvl w:val="1"/>
          <w:numId w:val="4"/>
        </w:numPr>
        <w:tabs>
          <w:tab w:val="left" w:pos="897"/>
          <w:tab w:val="left" w:pos="898"/>
        </w:tabs>
        <w:ind w:left="993"/>
        <w:jc w:val="left"/>
        <w:rPr>
          <w:sz w:val="24"/>
          <w:lang w:val="es-VE"/>
        </w:rPr>
      </w:pPr>
      <w:r w:rsidRPr="006857E5">
        <w:rPr>
          <w:sz w:val="24"/>
          <w:lang w:val="es-VE"/>
        </w:rPr>
        <w:t>Agencias de servicios sociales</w:t>
      </w:r>
    </w:p>
    <w:p w14:paraId="44859A3A" w14:textId="77777777" w:rsidR="00D607D9" w:rsidRPr="006857E5" w:rsidRDefault="00F31990" w:rsidP="00F31990">
      <w:pPr>
        <w:pStyle w:val="ListParagraph"/>
        <w:numPr>
          <w:ilvl w:val="1"/>
          <w:numId w:val="4"/>
        </w:numPr>
        <w:tabs>
          <w:tab w:val="left" w:pos="898"/>
        </w:tabs>
        <w:ind w:left="993"/>
        <w:jc w:val="left"/>
        <w:rPr>
          <w:sz w:val="24"/>
          <w:lang w:val="es-VE"/>
        </w:rPr>
      </w:pPr>
      <w:r w:rsidRPr="006857E5">
        <w:rPr>
          <w:sz w:val="24"/>
          <w:lang w:val="es-VE"/>
        </w:rPr>
        <w:t>Veteranos</w:t>
      </w:r>
    </w:p>
    <w:p w14:paraId="547A878C" w14:textId="77777777" w:rsidR="00D607D9" w:rsidRPr="006857E5" w:rsidRDefault="00F31990" w:rsidP="00F31990">
      <w:pPr>
        <w:pStyle w:val="ListParagraph"/>
        <w:numPr>
          <w:ilvl w:val="1"/>
          <w:numId w:val="4"/>
        </w:numPr>
        <w:tabs>
          <w:tab w:val="left" w:pos="898"/>
        </w:tabs>
        <w:ind w:left="993"/>
        <w:jc w:val="left"/>
        <w:rPr>
          <w:sz w:val="24"/>
          <w:lang w:val="es-VE"/>
        </w:rPr>
      </w:pPr>
      <w:r w:rsidRPr="006857E5">
        <w:rPr>
          <w:sz w:val="24"/>
          <w:lang w:val="es-VE"/>
        </w:rPr>
        <w:t>Representantes de las organizaciones de veteranos</w:t>
      </w:r>
    </w:p>
    <w:p w14:paraId="7BAEF5F3" w14:textId="77777777" w:rsidR="00D607D9" w:rsidRPr="006857E5" w:rsidRDefault="00F31990" w:rsidP="00F31990">
      <w:pPr>
        <w:pStyle w:val="ListParagraph"/>
        <w:numPr>
          <w:ilvl w:val="1"/>
          <w:numId w:val="4"/>
        </w:numPr>
        <w:tabs>
          <w:tab w:val="left" w:pos="897"/>
        </w:tabs>
        <w:ind w:left="993"/>
        <w:jc w:val="left"/>
        <w:rPr>
          <w:sz w:val="24"/>
          <w:lang w:val="es-VE"/>
        </w:rPr>
      </w:pPr>
      <w:r w:rsidRPr="006857E5">
        <w:rPr>
          <w:sz w:val="24"/>
          <w:lang w:val="es-VE"/>
        </w:rPr>
        <w:t>Proveedores de servicios de alcohol y drogas</w:t>
      </w:r>
    </w:p>
    <w:p w14:paraId="021E614B" w14:textId="77777777" w:rsidR="00D607D9" w:rsidRPr="006857E5" w:rsidRDefault="00F31990" w:rsidP="00F31990">
      <w:pPr>
        <w:pStyle w:val="ListParagraph"/>
        <w:numPr>
          <w:ilvl w:val="1"/>
          <w:numId w:val="4"/>
        </w:numPr>
        <w:tabs>
          <w:tab w:val="left" w:pos="897"/>
          <w:tab w:val="left" w:pos="898"/>
        </w:tabs>
        <w:ind w:left="993"/>
        <w:jc w:val="left"/>
        <w:rPr>
          <w:sz w:val="24"/>
          <w:lang w:val="es-VE"/>
        </w:rPr>
      </w:pPr>
      <w:r w:rsidRPr="006857E5">
        <w:rPr>
          <w:sz w:val="24"/>
          <w:lang w:val="es-VE"/>
        </w:rPr>
        <w:t>Organizaciones de atención de la salud</w:t>
      </w:r>
    </w:p>
    <w:p w14:paraId="62873104" w14:textId="77777777" w:rsidR="00D607D9" w:rsidRPr="006857E5" w:rsidRDefault="00F31990" w:rsidP="00F31990">
      <w:pPr>
        <w:pStyle w:val="ListParagraph"/>
        <w:numPr>
          <w:ilvl w:val="1"/>
          <w:numId w:val="4"/>
        </w:numPr>
        <w:tabs>
          <w:tab w:val="left" w:pos="898"/>
        </w:tabs>
        <w:ind w:left="993"/>
        <w:jc w:val="left"/>
        <w:rPr>
          <w:sz w:val="24"/>
          <w:lang w:val="es-VE"/>
        </w:rPr>
      </w:pPr>
      <w:r w:rsidRPr="006857E5">
        <w:rPr>
          <w:sz w:val="24"/>
          <w:lang w:val="es-VE"/>
        </w:rPr>
        <w:t>Otros intereses importantes</w:t>
      </w:r>
    </w:p>
    <w:p w14:paraId="77705E30" w14:textId="77777777" w:rsidR="00D607D9" w:rsidRPr="006857E5" w:rsidRDefault="00D607D9">
      <w:pPr>
        <w:rPr>
          <w:sz w:val="24"/>
          <w:lang w:val="es-VE"/>
        </w:rPr>
        <w:sectPr w:rsidR="00D607D9" w:rsidRPr="006857E5">
          <w:type w:val="continuous"/>
          <w:pgSz w:w="12240" w:h="15840"/>
          <w:pgMar w:top="740" w:right="700" w:bottom="280" w:left="980" w:header="720" w:footer="720" w:gutter="0"/>
          <w:cols w:num="2" w:space="720" w:equalWidth="0">
            <w:col w:w="4834" w:space="40"/>
            <w:col w:w="5686"/>
          </w:cols>
        </w:sectPr>
      </w:pPr>
    </w:p>
    <w:p w14:paraId="2CDA5252" w14:textId="77777777" w:rsidR="00D607D9" w:rsidRPr="006857E5" w:rsidRDefault="00F31990" w:rsidP="00F31990">
      <w:pPr>
        <w:pStyle w:val="ListParagraph"/>
        <w:numPr>
          <w:ilvl w:val="0"/>
          <w:numId w:val="4"/>
        </w:numPr>
        <w:tabs>
          <w:tab w:val="left" w:pos="732"/>
        </w:tabs>
        <w:spacing w:before="66"/>
        <w:ind w:right="1122"/>
        <w:jc w:val="left"/>
        <w:rPr>
          <w:color w:val="1C1C1C"/>
          <w:lang w:val="es-VE"/>
        </w:rPr>
      </w:pPr>
      <w:r w:rsidRPr="006857E5">
        <w:rPr>
          <w:rFonts w:ascii="Arial" w:hAnsi="Arial"/>
          <w:b/>
          <w:lang w:val="es-VE"/>
        </w:rPr>
        <w:t>Participantes desatendidos</w:t>
      </w:r>
      <w:r w:rsidR="006857E5" w:rsidRPr="006857E5">
        <w:rPr>
          <w:rFonts w:ascii="Arial" w:hAnsi="Arial"/>
          <w:b/>
          <w:lang w:val="es-VE"/>
        </w:rPr>
        <w:t xml:space="preserve"> </w:t>
      </w:r>
      <w:r w:rsidR="006857E5" w:rsidRPr="006857E5">
        <w:rPr>
          <w:sz w:val="24"/>
          <w:lang w:val="es-VE"/>
        </w:rPr>
        <w:t xml:space="preserve">– </w:t>
      </w:r>
      <w:r w:rsidRPr="006857E5">
        <w:rPr>
          <w:sz w:val="24"/>
          <w:lang w:val="es-VE"/>
        </w:rPr>
        <w:t>Representantes de poblaciones desatendidas y/o desatendidas y sus familiares</w:t>
      </w:r>
      <w:r w:rsidR="006857E5" w:rsidRPr="006857E5">
        <w:rPr>
          <w:sz w:val="24"/>
          <w:lang w:val="es-VE"/>
        </w:rPr>
        <w:t>.</w:t>
      </w:r>
    </w:p>
    <w:p w14:paraId="4E94E96E" w14:textId="77777777" w:rsidR="00D607D9" w:rsidRPr="006857E5" w:rsidRDefault="00F31990" w:rsidP="00F31990">
      <w:pPr>
        <w:pStyle w:val="ListParagraph"/>
        <w:numPr>
          <w:ilvl w:val="0"/>
          <w:numId w:val="4"/>
        </w:numPr>
        <w:tabs>
          <w:tab w:val="left" w:pos="732"/>
        </w:tabs>
        <w:spacing w:before="69"/>
        <w:ind w:right="1566"/>
        <w:jc w:val="left"/>
        <w:rPr>
          <w:color w:val="1C1C1C"/>
          <w:lang w:val="es-VE"/>
        </w:rPr>
      </w:pPr>
      <w:r w:rsidRPr="006857E5">
        <w:rPr>
          <w:rFonts w:ascii="Arial"/>
          <w:b/>
          <w:lang w:val="es-VE"/>
        </w:rPr>
        <w:t>Diversidad demogr</w:t>
      </w:r>
      <w:r w:rsidRPr="006857E5">
        <w:rPr>
          <w:rFonts w:ascii="Arial"/>
          <w:b/>
          <w:lang w:val="es-VE"/>
        </w:rPr>
        <w:t>á</w:t>
      </w:r>
      <w:r w:rsidRPr="006857E5">
        <w:rPr>
          <w:rFonts w:ascii="Arial"/>
          <w:b/>
          <w:lang w:val="es-VE"/>
        </w:rPr>
        <w:t>fica</w:t>
      </w:r>
      <w:r w:rsidR="006857E5" w:rsidRPr="006857E5">
        <w:rPr>
          <w:rFonts w:ascii="Arial"/>
          <w:b/>
          <w:lang w:val="es-VE"/>
        </w:rPr>
        <w:t xml:space="preserve">: </w:t>
      </w:r>
      <w:r w:rsidR="006857E5" w:rsidRPr="006857E5">
        <w:rPr>
          <w:sz w:val="24"/>
          <w:lang w:val="es-VE"/>
        </w:rPr>
        <w:t>Refle</w:t>
      </w:r>
      <w:r w:rsidRPr="006857E5">
        <w:rPr>
          <w:sz w:val="24"/>
          <w:lang w:val="es-VE"/>
        </w:rPr>
        <w:t>jando la diversidad de la demografía del condado</w:t>
      </w:r>
      <w:r w:rsidR="006857E5" w:rsidRPr="006857E5">
        <w:rPr>
          <w:sz w:val="24"/>
          <w:lang w:val="es-VE"/>
        </w:rPr>
        <w:t>, inclu</w:t>
      </w:r>
      <w:r w:rsidRPr="006857E5">
        <w:rPr>
          <w:sz w:val="24"/>
          <w:lang w:val="es-VE"/>
        </w:rPr>
        <w:t>yendo pero no limitado a</w:t>
      </w:r>
      <w:r w:rsidR="006857E5" w:rsidRPr="006857E5">
        <w:rPr>
          <w:sz w:val="24"/>
          <w:lang w:val="es-VE"/>
        </w:rPr>
        <w:t>:</w:t>
      </w:r>
    </w:p>
    <w:p w14:paraId="41CC1267" w14:textId="77777777" w:rsidR="00D607D9" w:rsidRPr="006857E5" w:rsidRDefault="00D607D9">
      <w:pPr>
        <w:rPr>
          <w:lang w:val="es-VE"/>
        </w:rPr>
        <w:sectPr w:rsidR="00D607D9" w:rsidRPr="006857E5">
          <w:type w:val="continuous"/>
          <w:pgSz w:w="12240" w:h="15840"/>
          <w:pgMar w:top="740" w:right="700" w:bottom="280" w:left="980" w:header="720" w:footer="720" w:gutter="0"/>
          <w:cols w:space="720"/>
        </w:sectPr>
      </w:pPr>
    </w:p>
    <w:p w14:paraId="4CEAD368" w14:textId="77777777" w:rsidR="00D607D9" w:rsidRPr="006857E5" w:rsidRDefault="00D607D9">
      <w:pPr>
        <w:pStyle w:val="BodyText"/>
        <w:ind w:left="0" w:firstLine="0"/>
        <w:rPr>
          <w:lang w:val="es-VE"/>
        </w:rPr>
      </w:pPr>
    </w:p>
    <w:p w14:paraId="67BD1C63" w14:textId="77777777" w:rsidR="00D607D9" w:rsidRPr="006857E5" w:rsidRDefault="00D607D9">
      <w:pPr>
        <w:pStyle w:val="BodyText"/>
        <w:spacing w:before="3"/>
        <w:ind w:left="0" w:firstLine="0"/>
        <w:rPr>
          <w:sz w:val="32"/>
          <w:lang w:val="es-VE"/>
        </w:rPr>
      </w:pPr>
    </w:p>
    <w:p w14:paraId="5CF6F979" w14:textId="77777777" w:rsidR="00D607D9" w:rsidRPr="006857E5" w:rsidRDefault="00A43F73">
      <w:pPr>
        <w:ind w:left="280"/>
        <w:rPr>
          <w:rFonts w:ascii="Arial"/>
          <w:b/>
          <w:lang w:val="es-VE"/>
        </w:rPr>
      </w:pPr>
      <w:r w:rsidRPr="006857E5">
        <w:rPr>
          <w:rFonts w:ascii="Arial"/>
          <w:b/>
          <w:color w:val="2F5496"/>
          <w:lang w:val="es-VE"/>
        </w:rPr>
        <w:t>PROCESO</w:t>
      </w:r>
    </w:p>
    <w:p w14:paraId="09CD8C4C" w14:textId="77777777" w:rsidR="00D607D9" w:rsidRPr="006857E5" w:rsidRDefault="006857E5">
      <w:pPr>
        <w:pStyle w:val="ListParagraph"/>
        <w:numPr>
          <w:ilvl w:val="0"/>
          <w:numId w:val="3"/>
        </w:numPr>
        <w:tabs>
          <w:tab w:val="left" w:pos="505"/>
        </w:tabs>
        <w:ind w:hanging="361"/>
        <w:jc w:val="left"/>
        <w:rPr>
          <w:sz w:val="24"/>
          <w:lang w:val="es-VE"/>
        </w:rPr>
      </w:pPr>
      <w:r w:rsidRPr="006857E5">
        <w:rPr>
          <w:spacing w:val="-1"/>
          <w:w w:val="99"/>
          <w:sz w:val="24"/>
          <w:lang w:val="es-VE"/>
        </w:rPr>
        <w:br w:type="column"/>
      </w:r>
      <w:r w:rsidR="00F31990" w:rsidRPr="006857E5">
        <w:rPr>
          <w:sz w:val="24"/>
          <w:lang w:val="es-VE"/>
        </w:rPr>
        <w:t>Ubicación Geográfica</w:t>
      </w:r>
    </w:p>
    <w:p w14:paraId="2D8C0452" w14:textId="77777777" w:rsidR="00D607D9" w:rsidRPr="006857E5" w:rsidRDefault="00F31990">
      <w:pPr>
        <w:pStyle w:val="ListParagraph"/>
        <w:numPr>
          <w:ilvl w:val="0"/>
          <w:numId w:val="3"/>
        </w:numPr>
        <w:tabs>
          <w:tab w:val="left" w:pos="505"/>
        </w:tabs>
        <w:ind w:hanging="361"/>
        <w:jc w:val="left"/>
        <w:rPr>
          <w:sz w:val="24"/>
          <w:lang w:val="es-VE"/>
        </w:rPr>
      </w:pPr>
      <w:r w:rsidRPr="006857E5">
        <w:rPr>
          <w:sz w:val="24"/>
          <w:lang w:val="es-VE"/>
        </w:rPr>
        <w:t>Edad</w:t>
      </w:r>
    </w:p>
    <w:p w14:paraId="6F8E86EB" w14:textId="77777777" w:rsidR="00D607D9" w:rsidRPr="006857E5" w:rsidRDefault="006857E5">
      <w:pPr>
        <w:pStyle w:val="ListParagraph"/>
        <w:numPr>
          <w:ilvl w:val="0"/>
          <w:numId w:val="3"/>
        </w:numPr>
        <w:tabs>
          <w:tab w:val="left" w:pos="640"/>
        </w:tabs>
        <w:ind w:left="640"/>
        <w:jc w:val="left"/>
        <w:rPr>
          <w:sz w:val="24"/>
          <w:lang w:val="es-VE"/>
        </w:rPr>
      </w:pPr>
      <w:r w:rsidRPr="006857E5">
        <w:rPr>
          <w:spacing w:val="-1"/>
          <w:w w:val="99"/>
          <w:sz w:val="24"/>
          <w:lang w:val="es-VE"/>
        </w:rPr>
        <w:br w:type="column"/>
      </w:r>
      <w:r w:rsidR="00A43F73" w:rsidRPr="006857E5">
        <w:rPr>
          <w:sz w:val="24"/>
          <w:lang w:val="es-VE"/>
        </w:rPr>
        <w:t>Género</w:t>
      </w:r>
    </w:p>
    <w:p w14:paraId="49DACA00" w14:textId="77777777" w:rsidR="00D607D9" w:rsidRPr="006857E5" w:rsidRDefault="00A43F73" w:rsidP="00A43F73">
      <w:pPr>
        <w:pStyle w:val="ListParagraph"/>
        <w:numPr>
          <w:ilvl w:val="0"/>
          <w:numId w:val="3"/>
        </w:numPr>
        <w:tabs>
          <w:tab w:val="left" w:pos="640"/>
        </w:tabs>
        <w:ind w:left="640"/>
        <w:jc w:val="left"/>
        <w:rPr>
          <w:sz w:val="24"/>
          <w:lang w:val="es-VE"/>
        </w:rPr>
        <w:sectPr w:rsidR="00D607D9" w:rsidRPr="006857E5" w:rsidSect="00A43F73">
          <w:type w:val="continuous"/>
          <w:pgSz w:w="12240" w:h="15840"/>
          <w:pgMar w:top="740" w:right="700" w:bottom="280" w:left="980" w:header="720" w:footer="720" w:gutter="0"/>
          <w:cols w:num="3" w:space="720" w:equalWidth="0">
            <w:col w:w="1394" w:space="2"/>
            <w:col w:w="3011" w:space="453"/>
            <w:col w:w="5700"/>
          </w:cols>
        </w:sectPr>
      </w:pPr>
      <w:r w:rsidRPr="006857E5">
        <w:rPr>
          <w:sz w:val="24"/>
          <w:lang w:val="es-VE"/>
        </w:rPr>
        <w:t>Raza/Etnia</w:t>
      </w:r>
    </w:p>
    <w:p w14:paraId="698439BD" w14:textId="77777777" w:rsidR="00D607D9" w:rsidRPr="006857E5" w:rsidRDefault="00A43F73" w:rsidP="00A43F73">
      <w:pPr>
        <w:pStyle w:val="ListParagraph"/>
        <w:numPr>
          <w:ilvl w:val="0"/>
          <w:numId w:val="2"/>
        </w:numPr>
        <w:tabs>
          <w:tab w:val="left" w:pos="640"/>
        </w:tabs>
        <w:ind w:right="289"/>
        <w:rPr>
          <w:rFonts w:ascii="Arial" w:hAnsi="Arial"/>
          <w:lang w:val="es-VE"/>
        </w:rPr>
      </w:pPr>
      <w:r w:rsidRPr="006857E5">
        <w:rPr>
          <w:rFonts w:ascii="Arial" w:hAnsi="Arial"/>
          <w:b/>
          <w:lang w:val="es-VE"/>
        </w:rPr>
        <w:t>Personal</w:t>
      </w:r>
      <w:r w:rsidR="006857E5" w:rsidRPr="006857E5">
        <w:rPr>
          <w:rFonts w:ascii="Arial" w:hAnsi="Arial"/>
          <w:b/>
          <w:lang w:val="es-VE"/>
        </w:rPr>
        <w:t xml:space="preserve"> </w:t>
      </w:r>
      <w:r w:rsidR="006857E5" w:rsidRPr="006857E5">
        <w:rPr>
          <w:rFonts w:ascii="Arial" w:hAnsi="Arial"/>
          <w:sz w:val="24"/>
          <w:lang w:val="es-VE"/>
        </w:rPr>
        <w:t xml:space="preserve">– </w:t>
      </w:r>
      <w:r w:rsidRPr="006857E5">
        <w:rPr>
          <w:sz w:val="24"/>
          <w:lang w:val="es-VE"/>
        </w:rPr>
        <w:t>El condado designará los puestos y/o unidades responsables de la coordinación y gestión del Proceso de CPP para incluir la facilitación de la participación de los participantes mencionados anteriormente</w:t>
      </w:r>
      <w:r w:rsidR="006857E5" w:rsidRPr="006857E5">
        <w:rPr>
          <w:sz w:val="24"/>
          <w:lang w:val="es-VE"/>
        </w:rPr>
        <w:t>.</w:t>
      </w:r>
    </w:p>
    <w:p w14:paraId="10A7FC67" w14:textId="77777777" w:rsidR="00D607D9" w:rsidRPr="006857E5" w:rsidRDefault="00A43F73" w:rsidP="00A43F73">
      <w:pPr>
        <w:pStyle w:val="ListParagraph"/>
        <w:numPr>
          <w:ilvl w:val="0"/>
          <w:numId w:val="2"/>
        </w:numPr>
        <w:tabs>
          <w:tab w:val="left" w:pos="640"/>
        </w:tabs>
        <w:rPr>
          <w:rFonts w:ascii="Arial"/>
          <w:lang w:val="es-VE"/>
        </w:rPr>
      </w:pPr>
      <w:r w:rsidRPr="006857E5">
        <w:rPr>
          <w:rFonts w:ascii="Arial"/>
          <w:b/>
          <w:lang w:val="es-VE"/>
        </w:rPr>
        <w:t>Capacitaci</w:t>
      </w:r>
      <w:r w:rsidRPr="006857E5">
        <w:rPr>
          <w:rFonts w:ascii="Arial"/>
          <w:b/>
          <w:lang w:val="es-VE"/>
        </w:rPr>
        <w:t>ó</w:t>
      </w:r>
      <w:r w:rsidRPr="006857E5">
        <w:rPr>
          <w:rFonts w:ascii="Arial"/>
          <w:b/>
          <w:lang w:val="es-VE"/>
        </w:rPr>
        <w:t xml:space="preserve">n </w:t>
      </w:r>
      <w:r w:rsidR="006857E5" w:rsidRPr="006857E5">
        <w:rPr>
          <w:rFonts w:ascii="Arial"/>
          <w:b/>
          <w:lang w:val="es-VE"/>
        </w:rPr>
        <w:t xml:space="preserve"> </w:t>
      </w:r>
      <w:r w:rsidRPr="006857E5">
        <w:rPr>
          <w:sz w:val="24"/>
          <w:lang w:val="es-VE"/>
        </w:rPr>
        <w:t>para el personal del condado y las partes interesadas, según sea necesario</w:t>
      </w:r>
      <w:r w:rsidR="006857E5" w:rsidRPr="006857E5">
        <w:rPr>
          <w:sz w:val="24"/>
          <w:lang w:val="es-VE"/>
        </w:rPr>
        <w:t>.</w:t>
      </w:r>
    </w:p>
    <w:p w14:paraId="178AAEBF" w14:textId="77777777" w:rsidR="00D607D9" w:rsidRPr="006857E5" w:rsidRDefault="00A43F73" w:rsidP="00A43F73">
      <w:pPr>
        <w:pStyle w:val="ListParagraph"/>
        <w:numPr>
          <w:ilvl w:val="0"/>
          <w:numId w:val="2"/>
        </w:numPr>
        <w:tabs>
          <w:tab w:val="left" w:pos="640"/>
        </w:tabs>
        <w:ind w:right="284"/>
        <w:rPr>
          <w:rFonts w:ascii="Arial"/>
          <w:lang w:val="es-VE"/>
        </w:rPr>
      </w:pPr>
      <w:r w:rsidRPr="006857E5">
        <w:rPr>
          <w:rFonts w:ascii="Arial"/>
          <w:b/>
          <w:lang w:val="es-VE"/>
        </w:rPr>
        <w:t>Alcance</w:t>
      </w:r>
      <w:r w:rsidR="006857E5" w:rsidRPr="006857E5">
        <w:rPr>
          <w:rFonts w:ascii="Arial"/>
          <w:b/>
          <w:spacing w:val="-10"/>
          <w:lang w:val="es-VE"/>
        </w:rPr>
        <w:t xml:space="preserve"> </w:t>
      </w:r>
      <w:r w:rsidRPr="006857E5">
        <w:rPr>
          <w:sz w:val="24"/>
          <w:lang w:val="es-VE"/>
        </w:rPr>
        <w:t>a los clientes con enfermedades mentales graves y/o perturbaciones emocionales graves, y a sus familiares, para asegurar la oportunidad de participar.</w:t>
      </w:r>
    </w:p>
    <w:p w14:paraId="3E5E991F" w14:textId="77777777" w:rsidR="00D607D9" w:rsidRPr="006857E5" w:rsidRDefault="00A43F73" w:rsidP="00A43F73">
      <w:pPr>
        <w:pStyle w:val="ListParagraph"/>
        <w:numPr>
          <w:ilvl w:val="0"/>
          <w:numId w:val="2"/>
        </w:numPr>
        <w:tabs>
          <w:tab w:val="left" w:pos="640"/>
        </w:tabs>
        <w:ind w:right="286"/>
        <w:rPr>
          <w:rFonts w:ascii="Arial"/>
          <w:lang w:val="es-VE"/>
        </w:rPr>
      </w:pPr>
      <w:r w:rsidRPr="006857E5">
        <w:rPr>
          <w:rFonts w:ascii="Arial"/>
          <w:b/>
          <w:lang w:val="es-VE"/>
        </w:rPr>
        <w:t>El proceso de revisi</w:t>
      </w:r>
      <w:r w:rsidRPr="006857E5">
        <w:rPr>
          <w:rFonts w:ascii="Arial"/>
          <w:b/>
          <w:lang w:val="es-VE"/>
        </w:rPr>
        <w:t>ó</w:t>
      </w:r>
      <w:r w:rsidRPr="006857E5">
        <w:rPr>
          <w:rFonts w:ascii="Arial"/>
          <w:b/>
          <w:lang w:val="es-VE"/>
        </w:rPr>
        <w:t>n</w:t>
      </w:r>
      <w:r w:rsidR="006857E5" w:rsidRPr="006857E5">
        <w:rPr>
          <w:sz w:val="24"/>
          <w:lang w:val="es-VE"/>
        </w:rPr>
        <w:t xml:space="preserve"> </w:t>
      </w:r>
      <w:r w:rsidRPr="006857E5">
        <w:rPr>
          <w:sz w:val="24"/>
          <w:lang w:val="es-VE"/>
        </w:rPr>
        <w:t xml:space="preserve">debe ocurrir antes de presentar los planes de 3 años y las actualizaciones anuales para incluir un período de comentarios públicos de 30 días seguido de una audiencia pública. Como parte de este proceso, </w:t>
      </w:r>
      <w:r w:rsidRPr="006857E5">
        <w:rPr>
          <w:color w:val="2F5597"/>
          <w:sz w:val="24"/>
          <w:lang w:val="es-VE"/>
        </w:rPr>
        <w:t>la junta/comisión local de MH/BH deberá</w:t>
      </w:r>
      <w:r w:rsidRPr="006857E5">
        <w:rPr>
          <w:sz w:val="24"/>
          <w:lang w:val="es-VE"/>
        </w:rPr>
        <w:t>: a) Revisar y aprobar los procedimientos utilizados para asegurar la participación ciudadana y profesional en todas las etapas del proceso de planificación; b) Revisar el plan adoptado o actualizar y hacer recomendaciones; c) Realizar las Audiencias Públicas de MHSA al cierre de los períodos de comentarios públicos de 30 días</w:t>
      </w:r>
      <w:r w:rsidR="006857E5" w:rsidRPr="006857E5">
        <w:rPr>
          <w:sz w:val="24"/>
          <w:lang w:val="es-VE"/>
        </w:rPr>
        <w:t>.</w:t>
      </w:r>
    </w:p>
    <w:p w14:paraId="4E251BE5" w14:textId="77777777" w:rsidR="00D607D9" w:rsidRPr="006857E5" w:rsidRDefault="008A5569" w:rsidP="008A5569">
      <w:pPr>
        <w:pStyle w:val="ListParagraph"/>
        <w:numPr>
          <w:ilvl w:val="0"/>
          <w:numId w:val="2"/>
        </w:numPr>
        <w:tabs>
          <w:tab w:val="left" w:pos="640"/>
        </w:tabs>
        <w:spacing w:before="1" w:line="237" w:lineRule="auto"/>
        <w:ind w:right="287"/>
        <w:rPr>
          <w:rFonts w:ascii="Arial"/>
          <w:color w:val="1C1C1C"/>
          <w:lang w:val="es-VE"/>
        </w:rPr>
      </w:pPr>
      <w:r w:rsidRPr="006857E5">
        <w:rPr>
          <w:rFonts w:ascii="Arial"/>
          <w:b/>
          <w:lang w:val="es-VE"/>
        </w:rPr>
        <w:t>Documentaci</w:t>
      </w:r>
      <w:r w:rsidRPr="006857E5">
        <w:rPr>
          <w:rFonts w:ascii="Arial"/>
          <w:b/>
          <w:lang w:val="es-VE"/>
        </w:rPr>
        <w:t>ó</w:t>
      </w:r>
      <w:r w:rsidR="006857E5" w:rsidRPr="006857E5">
        <w:rPr>
          <w:rFonts w:ascii="Arial"/>
          <w:b/>
          <w:lang w:val="es-VE"/>
        </w:rPr>
        <w:t>n</w:t>
      </w:r>
      <w:r w:rsidR="006857E5" w:rsidRPr="006857E5">
        <w:rPr>
          <w:rFonts w:ascii="Arial"/>
          <w:color w:val="1C1C1C"/>
          <w:sz w:val="24"/>
          <w:lang w:val="es-VE"/>
        </w:rPr>
        <w:t xml:space="preserve">: </w:t>
      </w:r>
      <w:r w:rsidRPr="006857E5">
        <w:rPr>
          <w:color w:val="1C1C1C"/>
          <w:sz w:val="24"/>
          <w:lang w:val="es-VE"/>
        </w:rPr>
        <w:t>Los planes de 3 años y las actualizaciones de MHSA deben incluir una descripción del proceso de los interesados locales, incluyendo</w:t>
      </w:r>
      <w:r w:rsidR="006857E5" w:rsidRPr="006857E5">
        <w:rPr>
          <w:color w:val="1C1C1C"/>
          <w:sz w:val="24"/>
          <w:lang w:val="es-VE"/>
        </w:rPr>
        <w:t>:</w:t>
      </w:r>
    </w:p>
    <w:p w14:paraId="00ABEDAC" w14:textId="77777777" w:rsidR="00D607D9" w:rsidRPr="006857E5" w:rsidRDefault="00D607D9">
      <w:pPr>
        <w:spacing w:line="237" w:lineRule="auto"/>
        <w:jc w:val="both"/>
        <w:rPr>
          <w:rFonts w:ascii="Arial"/>
          <w:lang w:val="es-VE"/>
        </w:rPr>
        <w:sectPr w:rsidR="00D607D9" w:rsidRPr="006857E5">
          <w:type w:val="continuous"/>
          <w:pgSz w:w="12240" w:h="15840"/>
          <w:pgMar w:top="740" w:right="700" w:bottom="280" w:left="980" w:header="720" w:footer="720" w:gutter="0"/>
          <w:cols w:space="720"/>
        </w:sectPr>
      </w:pPr>
    </w:p>
    <w:p w14:paraId="5EC98BEA" w14:textId="77777777" w:rsidR="00D607D9" w:rsidRPr="006857E5" w:rsidRDefault="008A5569">
      <w:pPr>
        <w:pStyle w:val="ListParagraph"/>
        <w:numPr>
          <w:ilvl w:val="1"/>
          <w:numId w:val="2"/>
        </w:numPr>
        <w:tabs>
          <w:tab w:val="left" w:pos="1000"/>
        </w:tabs>
        <w:spacing w:before="1"/>
        <w:jc w:val="both"/>
        <w:rPr>
          <w:sz w:val="24"/>
          <w:lang w:val="es-VE"/>
        </w:rPr>
      </w:pPr>
      <w:r w:rsidRPr="006857E5">
        <w:rPr>
          <w:color w:val="1C1C1C"/>
          <w:sz w:val="24"/>
          <w:lang w:val="es-VE"/>
        </w:rPr>
        <w:t>Fecha</w:t>
      </w:r>
      <w:r w:rsidR="006857E5" w:rsidRPr="006857E5">
        <w:rPr>
          <w:color w:val="1C1C1C"/>
          <w:sz w:val="24"/>
          <w:lang w:val="es-VE"/>
        </w:rPr>
        <w:t xml:space="preserve">(s) </w:t>
      </w:r>
      <w:r w:rsidRPr="006857E5">
        <w:rPr>
          <w:color w:val="1C1C1C"/>
          <w:sz w:val="24"/>
          <w:lang w:val="es-VE"/>
        </w:rPr>
        <w:t>de la(s) reunión</w:t>
      </w:r>
      <w:r w:rsidR="006857E5" w:rsidRPr="006857E5">
        <w:rPr>
          <w:color w:val="1C1C1C"/>
          <w:sz w:val="24"/>
          <w:lang w:val="es-VE"/>
        </w:rPr>
        <w:t>(</w:t>
      </w:r>
      <w:r w:rsidRPr="006857E5">
        <w:rPr>
          <w:color w:val="1C1C1C"/>
          <w:sz w:val="24"/>
          <w:lang w:val="es-VE"/>
        </w:rPr>
        <w:t>e</w:t>
      </w:r>
      <w:r w:rsidR="006857E5" w:rsidRPr="006857E5">
        <w:rPr>
          <w:color w:val="1C1C1C"/>
          <w:sz w:val="24"/>
          <w:lang w:val="es-VE"/>
        </w:rPr>
        <w:t>s)</w:t>
      </w:r>
    </w:p>
    <w:p w14:paraId="75098532" w14:textId="77777777" w:rsidR="00D607D9" w:rsidRPr="006857E5" w:rsidRDefault="008A5569" w:rsidP="008A5569">
      <w:pPr>
        <w:pStyle w:val="ListParagraph"/>
        <w:numPr>
          <w:ilvl w:val="1"/>
          <w:numId w:val="2"/>
        </w:numPr>
        <w:tabs>
          <w:tab w:val="left" w:pos="1000"/>
        </w:tabs>
        <w:rPr>
          <w:sz w:val="24"/>
          <w:lang w:val="es-VE"/>
        </w:rPr>
      </w:pPr>
      <w:r w:rsidRPr="006857E5">
        <w:rPr>
          <w:color w:val="1C1C1C"/>
          <w:sz w:val="24"/>
          <w:lang w:val="es-VE"/>
        </w:rPr>
        <w:t>Cualquier otra actividad de planificación que se lleve a cabo</w:t>
      </w:r>
    </w:p>
    <w:p w14:paraId="0947B7C5" w14:textId="77777777" w:rsidR="00D607D9" w:rsidRPr="006857E5" w:rsidRDefault="008A5569" w:rsidP="008A5569">
      <w:pPr>
        <w:pStyle w:val="ListParagraph"/>
        <w:numPr>
          <w:ilvl w:val="1"/>
          <w:numId w:val="2"/>
        </w:numPr>
        <w:tabs>
          <w:tab w:val="left" w:pos="1000"/>
        </w:tabs>
        <w:ind w:right="178"/>
        <w:rPr>
          <w:sz w:val="24"/>
          <w:lang w:val="es-VE"/>
        </w:rPr>
      </w:pPr>
      <w:r w:rsidRPr="006857E5">
        <w:rPr>
          <w:color w:val="1C1C1C"/>
          <w:sz w:val="24"/>
          <w:lang w:val="es-VE"/>
        </w:rPr>
        <w:t>Descripción de los interesados que participaron en el proceso de planificación con suficiente detalle para establecer que se incluyeron los interesados requeridos</w:t>
      </w:r>
    </w:p>
    <w:p w14:paraId="1F61A38F" w14:textId="77777777" w:rsidR="00D607D9" w:rsidRPr="006857E5" w:rsidRDefault="008A5569" w:rsidP="008A5569">
      <w:pPr>
        <w:pStyle w:val="ListParagraph"/>
        <w:numPr>
          <w:ilvl w:val="0"/>
          <w:numId w:val="1"/>
        </w:numPr>
        <w:tabs>
          <w:tab w:val="left" w:pos="1000"/>
        </w:tabs>
        <w:ind w:right="179"/>
        <w:jc w:val="left"/>
        <w:rPr>
          <w:sz w:val="24"/>
          <w:lang w:val="es-VE"/>
        </w:rPr>
      </w:pPr>
      <w:r w:rsidRPr="006857E5">
        <w:rPr>
          <w:color w:val="1C1C1C"/>
          <w:sz w:val="24"/>
          <w:lang w:val="es-VE"/>
        </w:rPr>
        <w:t>Descripción de la importancia de la participación de los interesados</w:t>
      </w:r>
    </w:p>
    <w:p w14:paraId="7FCC781E" w14:textId="77777777" w:rsidR="00D607D9" w:rsidRPr="006857E5" w:rsidRDefault="008A5569" w:rsidP="008A5569">
      <w:pPr>
        <w:pStyle w:val="ListParagraph"/>
        <w:numPr>
          <w:ilvl w:val="0"/>
          <w:numId w:val="1"/>
        </w:numPr>
        <w:tabs>
          <w:tab w:val="left" w:pos="1000"/>
        </w:tabs>
        <w:jc w:val="left"/>
        <w:rPr>
          <w:sz w:val="24"/>
          <w:lang w:val="es-VE"/>
        </w:rPr>
      </w:pPr>
      <w:r w:rsidRPr="006857E5">
        <w:rPr>
          <w:color w:val="1C1C1C"/>
          <w:sz w:val="24"/>
          <w:lang w:val="es-VE"/>
        </w:rPr>
        <w:t>Fechas del proceso de revisión de 30 días</w:t>
      </w:r>
    </w:p>
    <w:p w14:paraId="62290890" w14:textId="77777777" w:rsidR="00D607D9" w:rsidRPr="006857E5" w:rsidRDefault="008A5569" w:rsidP="008A5569">
      <w:pPr>
        <w:pStyle w:val="ListParagraph"/>
        <w:numPr>
          <w:ilvl w:val="0"/>
          <w:numId w:val="1"/>
        </w:numPr>
        <w:tabs>
          <w:tab w:val="left" w:pos="1000"/>
        </w:tabs>
        <w:jc w:val="left"/>
        <w:rPr>
          <w:sz w:val="24"/>
          <w:lang w:val="es-VE"/>
        </w:rPr>
      </w:pPr>
      <w:r w:rsidRPr="006857E5">
        <w:rPr>
          <w:color w:val="1C1C1C"/>
          <w:sz w:val="24"/>
          <w:lang w:val="es-VE"/>
        </w:rPr>
        <w:t xml:space="preserve">Métodos utilizados por el condado para </w:t>
      </w:r>
      <w:r w:rsidRPr="006857E5">
        <w:rPr>
          <w:color w:val="1C1C1C"/>
          <w:sz w:val="24"/>
          <w:lang w:val="es-VE"/>
        </w:rPr>
        <w:t>distribuir, con el fin de que el público comente el proyecto de plan, a los representantes de los intereses de las partes interesadas y a cualquier otra parte interesada que haya solicitado una copia del proyecto de plan</w:t>
      </w:r>
    </w:p>
    <w:p w14:paraId="5B3A6B48" w14:textId="77777777" w:rsidR="00D607D9" w:rsidRPr="006857E5" w:rsidRDefault="006857E5" w:rsidP="008A5569">
      <w:pPr>
        <w:pStyle w:val="ListParagraph"/>
        <w:numPr>
          <w:ilvl w:val="0"/>
          <w:numId w:val="1"/>
        </w:numPr>
        <w:tabs>
          <w:tab w:val="left" w:pos="502"/>
        </w:tabs>
        <w:spacing w:before="1"/>
        <w:ind w:left="567" w:right="198" w:hanging="425"/>
        <w:jc w:val="both"/>
        <w:rPr>
          <w:sz w:val="24"/>
          <w:lang w:val="es-VE"/>
        </w:rPr>
      </w:pPr>
      <w:r w:rsidRPr="006857E5">
        <w:rPr>
          <w:color w:val="1C1C1C"/>
          <w:spacing w:val="-1"/>
          <w:w w:val="99"/>
          <w:sz w:val="24"/>
          <w:lang w:val="es-VE"/>
        </w:rPr>
        <w:br w:type="column"/>
      </w:r>
      <w:r w:rsidR="008A5569" w:rsidRPr="006857E5">
        <w:rPr>
          <w:color w:val="1C1C1C"/>
          <w:sz w:val="24"/>
          <w:lang w:val="es-VE"/>
        </w:rPr>
        <w:lastRenderedPageBreak/>
        <w:t>Fecha de la audiencia pública celebrada por la junta o comisión local de salud mental</w:t>
      </w:r>
    </w:p>
    <w:p w14:paraId="6B32835E" w14:textId="77777777" w:rsidR="00D607D9" w:rsidRPr="006857E5" w:rsidRDefault="006857E5" w:rsidP="006857E5">
      <w:pPr>
        <w:pStyle w:val="ListParagraph"/>
        <w:numPr>
          <w:ilvl w:val="0"/>
          <w:numId w:val="1"/>
        </w:numPr>
        <w:tabs>
          <w:tab w:val="left" w:pos="502"/>
        </w:tabs>
        <w:ind w:left="567" w:right="193" w:hanging="425"/>
        <w:jc w:val="left"/>
        <w:rPr>
          <w:sz w:val="24"/>
          <w:lang w:val="es-VE"/>
        </w:rPr>
      </w:pPr>
      <w:r w:rsidRPr="006857E5">
        <w:rPr>
          <w:color w:val="1C1C1C"/>
          <w:sz w:val="24"/>
          <w:lang w:val="es-VE"/>
        </w:rPr>
        <w:t>Resumen y análisis de las recomendaciones sustantivas recibidas durante el período de 30 días de observaciones públicas</w:t>
      </w:r>
    </w:p>
    <w:p w14:paraId="0BE6A1AA" w14:textId="77777777" w:rsidR="00D607D9" w:rsidRPr="006857E5" w:rsidRDefault="006857E5" w:rsidP="006857E5">
      <w:pPr>
        <w:pStyle w:val="ListParagraph"/>
        <w:numPr>
          <w:ilvl w:val="0"/>
          <w:numId w:val="1"/>
        </w:numPr>
        <w:tabs>
          <w:tab w:val="left" w:pos="502"/>
        </w:tabs>
        <w:ind w:left="567" w:right="198" w:hanging="425"/>
        <w:jc w:val="left"/>
        <w:rPr>
          <w:sz w:val="24"/>
          <w:lang w:val="es-VE"/>
        </w:rPr>
      </w:pPr>
      <w:r w:rsidRPr="006857E5">
        <w:rPr>
          <w:color w:val="1C1C1C"/>
          <w:sz w:val="24"/>
          <w:lang w:val="es-VE"/>
        </w:rPr>
        <w:t>Descripción de los cambios sustantivos introducidos en el plan propuesto</w:t>
      </w:r>
    </w:p>
    <w:p w14:paraId="29D4BB9E" w14:textId="77777777" w:rsidR="006857E5" w:rsidRPr="006857E5" w:rsidRDefault="006857E5" w:rsidP="006857E5">
      <w:pPr>
        <w:pStyle w:val="ListParagraph"/>
        <w:tabs>
          <w:tab w:val="left" w:pos="502"/>
        </w:tabs>
        <w:ind w:left="567" w:right="198" w:firstLine="0"/>
        <w:rPr>
          <w:sz w:val="24"/>
          <w:lang w:val="es-VE"/>
        </w:rPr>
      </w:pPr>
    </w:p>
    <w:p w14:paraId="612E7377" w14:textId="77777777" w:rsidR="00D607D9" w:rsidRPr="006857E5" w:rsidRDefault="006857E5" w:rsidP="006857E5">
      <w:pPr>
        <w:pStyle w:val="ListParagraph"/>
        <w:numPr>
          <w:ilvl w:val="0"/>
          <w:numId w:val="1"/>
        </w:numPr>
        <w:tabs>
          <w:tab w:val="left" w:pos="502"/>
        </w:tabs>
        <w:ind w:right="193"/>
        <w:jc w:val="left"/>
        <w:rPr>
          <w:color w:val="1C1C1C"/>
          <w:sz w:val="24"/>
          <w:lang w:val="es-VE"/>
        </w:rPr>
      </w:pPr>
      <w:r w:rsidRPr="006857E5">
        <w:rPr>
          <w:color w:val="1C1C1C"/>
          <w:sz w:val="24"/>
          <w:lang w:val="es-VE"/>
        </w:rPr>
        <w:t xml:space="preserve">La agencia local de MH/BH debe proporcionar explicaciones por escrito (en un informe anual) al órgano rector y al DHCS sobre cualquier recomendación sustantiva hecha por </w:t>
      </w:r>
      <w:r w:rsidRPr="006857E5">
        <w:rPr>
          <w:color w:val="2F5597"/>
          <w:sz w:val="24"/>
          <w:lang w:val="es-VE"/>
        </w:rPr>
        <w:t xml:space="preserve">la junta/comisión local de MH/BH </w:t>
      </w:r>
      <w:r w:rsidRPr="006857E5">
        <w:rPr>
          <w:color w:val="1C1C1C"/>
          <w:sz w:val="24"/>
          <w:lang w:val="es-VE"/>
        </w:rPr>
        <w:t>que no esté incluida en el plan o actualización final.</w:t>
      </w:r>
    </w:p>
    <w:p w14:paraId="4E10789E" w14:textId="77777777" w:rsidR="00D607D9" w:rsidRPr="006857E5" w:rsidRDefault="00D607D9">
      <w:pPr>
        <w:jc w:val="both"/>
        <w:rPr>
          <w:sz w:val="24"/>
          <w:lang w:val="es-VE"/>
        </w:rPr>
        <w:sectPr w:rsidR="00D607D9" w:rsidRPr="006857E5">
          <w:type w:val="continuous"/>
          <w:pgSz w:w="12240" w:h="15840"/>
          <w:pgMar w:top="740" w:right="700" w:bottom="280" w:left="980" w:header="720" w:footer="720" w:gutter="0"/>
          <w:cols w:num="2" w:space="720" w:equalWidth="0">
            <w:col w:w="5410" w:space="40"/>
            <w:col w:w="5110"/>
          </w:cols>
        </w:sectPr>
      </w:pPr>
    </w:p>
    <w:p w14:paraId="68F01DD0" w14:textId="77777777" w:rsidR="00D607D9" w:rsidRPr="006857E5" w:rsidRDefault="006857E5" w:rsidP="006857E5">
      <w:pPr>
        <w:pStyle w:val="BodyText"/>
        <w:tabs>
          <w:tab w:val="left" w:pos="989"/>
        </w:tabs>
        <w:spacing w:before="2"/>
        <w:ind w:left="0" w:firstLine="0"/>
        <w:rPr>
          <w:sz w:val="16"/>
          <w:lang w:val="es-VE"/>
        </w:rPr>
      </w:pPr>
      <w:r w:rsidRPr="006857E5">
        <w:rPr>
          <w:sz w:val="16"/>
          <w:lang w:val="es-VE"/>
        </w:rPr>
        <w:tab/>
      </w:r>
    </w:p>
    <w:p w14:paraId="5EB49B4A" w14:textId="77777777" w:rsidR="00D607D9" w:rsidRPr="00D7741B" w:rsidRDefault="006857E5">
      <w:pPr>
        <w:spacing w:before="93"/>
        <w:ind w:left="100"/>
        <w:rPr>
          <w:rFonts w:ascii="Arial" w:hAnsi="Arial"/>
          <w:b/>
        </w:rPr>
      </w:pPr>
      <w:r w:rsidRPr="00D7741B">
        <w:rPr>
          <w:rFonts w:ascii="Arial" w:hAnsi="Arial"/>
          <w:b/>
          <w:color w:val="1C1C1C"/>
        </w:rPr>
        <w:t xml:space="preserve">*CCR, 9 CA ADC § 3200, 3200.060, 3200.270, 3200.90, 3300, 3315, 3320 </w:t>
      </w:r>
      <w:r w:rsidRPr="00D7741B">
        <w:rPr>
          <w:rFonts w:ascii="Arial" w:hAnsi="Arial"/>
          <w:color w:val="1C1C1C"/>
        </w:rPr>
        <w:t xml:space="preserve">&amp; </w:t>
      </w:r>
      <w:r w:rsidRPr="00D7741B">
        <w:rPr>
          <w:rFonts w:ascii="Arial" w:hAnsi="Arial"/>
          <w:b/>
          <w:color w:val="1C1C1C"/>
        </w:rPr>
        <w:t>WIC 5848(</w:t>
      </w:r>
      <w:proofErr w:type="spellStart"/>
      <w:proofErr w:type="gramStart"/>
      <w:r w:rsidRPr="00D7741B">
        <w:rPr>
          <w:rFonts w:ascii="Arial" w:hAnsi="Arial"/>
          <w:b/>
          <w:color w:val="1C1C1C"/>
        </w:rPr>
        <w:t>a,b</w:t>
      </w:r>
      <w:proofErr w:type="gramEnd"/>
      <w:r w:rsidRPr="00D7741B">
        <w:rPr>
          <w:rFonts w:ascii="Arial" w:hAnsi="Arial"/>
          <w:b/>
          <w:color w:val="1C1C1C"/>
        </w:rPr>
        <w:t>,f</w:t>
      </w:r>
      <w:proofErr w:type="spellEnd"/>
      <w:r w:rsidRPr="00D7741B">
        <w:rPr>
          <w:rFonts w:ascii="Arial" w:hAnsi="Arial"/>
          <w:b/>
          <w:color w:val="1C1C1C"/>
        </w:rPr>
        <w:t xml:space="preserve">) </w:t>
      </w:r>
      <w:r w:rsidRPr="00D7741B">
        <w:rPr>
          <w:rFonts w:ascii="Arial" w:hAnsi="Arial"/>
          <w:color w:val="1C1C1C"/>
        </w:rPr>
        <w:t xml:space="preserve">&amp; </w:t>
      </w:r>
      <w:r w:rsidRPr="00D7741B">
        <w:rPr>
          <w:rFonts w:ascii="Arial" w:hAnsi="Arial"/>
          <w:b/>
          <w:color w:val="1C1C1C"/>
        </w:rPr>
        <w:t>5604.2(4)</w:t>
      </w:r>
    </w:p>
    <w:sectPr w:rsidR="00D607D9" w:rsidRPr="00D7741B">
      <w:type w:val="continuous"/>
      <w:pgSz w:w="12240" w:h="15840"/>
      <w:pgMar w:top="740" w:right="70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CF79A1"/>
    <w:multiLevelType w:val="hybridMultilevel"/>
    <w:tmpl w:val="EBDE339C"/>
    <w:lvl w:ilvl="0" w:tplc="33A21514">
      <w:start w:val="1"/>
      <w:numFmt w:val="lowerLetter"/>
      <w:lvlText w:val="%1."/>
      <w:lvlJc w:val="left"/>
      <w:pPr>
        <w:ind w:left="504" w:hanging="360"/>
        <w:jc w:val="righ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n-US" w:eastAsia="en-US" w:bidi="en-US"/>
      </w:rPr>
    </w:lvl>
    <w:lvl w:ilvl="1" w:tplc="1ADA6B80">
      <w:numFmt w:val="bullet"/>
      <w:lvlText w:val="•"/>
      <w:lvlJc w:val="left"/>
      <w:pPr>
        <w:ind w:left="707" w:hanging="360"/>
      </w:pPr>
      <w:rPr>
        <w:rFonts w:hint="default"/>
        <w:lang w:val="en-US" w:eastAsia="en-US" w:bidi="en-US"/>
      </w:rPr>
    </w:lvl>
    <w:lvl w:ilvl="2" w:tplc="7CA2B4C8">
      <w:numFmt w:val="bullet"/>
      <w:lvlText w:val="•"/>
      <w:lvlJc w:val="left"/>
      <w:pPr>
        <w:ind w:left="914" w:hanging="360"/>
      </w:pPr>
      <w:rPr>
        <w:rFonts w:hint="default"/>
        <w:lang w:val="en-US" w:eastAsia="en-US" w:bidi="en-US"/>
      </w:rPr>
    </w:lvl>
    <w:lvl w:ilvl="3" w:tplc="FB2A27AE">
      <w:numFmt w:val="bullet"/>
      <w:lvlText w:val="•"/>
      <w:lvlJc w:val="left"/>
      <w:pPr>
        <w:ind w:left="1122" w:hanging="360"/>
      </w:pPr>
      <w:rPr>
        <w:rFonts w:hint="default"/>
        <w:lang w:val="en-US" w:eastAsia="en-US" w:bidi="en-US"/>
      </w:rPr>
    </w:lvl>
    <w:lvl w:ilvl="4" w:tplc="BF469708">
      <w:numFmt w:val="bullet"/>
      <w:lvlText w:val="•"/>
      <w:lvlJc w:val="left"/>
      <w:pPr>
        <w:ind w:left="1329" w:hanging="360"/>
      </w:pPr>
      <w:rPr>
        <w:rFonts w:hint="default"/>
        <w:lang w:val="en-US" w:eastAsia="en-US" w:bidi="en-US"/>
      </w:rPr>
    </w:lvl>
    <w:lvl w:ilvl="5" w:tplc="812846AA">
      <w:numFmt w:val="bullet"/>
      <w:lvlText w:val="•"/>
      <w:lvlJc w:val="left"/>
      <w:pPr>
        <w:ind w:left="1537" w:hanging="360"/>
      </w:pPr>
      <w:rPr>
        <w:rFonts w:hint="default"/>
        <w:lang w:val="en-US" w:eastAsia="en-US" w:bidi="en-US"/>
      </w:rPr>
    </w:lvl>
    <w:lvl w:ilvl="6" w:tplc="5B949C8A">
      <w:numFmt w:val="bullet"/>
      <w:lvlText w:val="•"/>
      <w:lvlJc w:val="left"/>
      <w:pPr>
        <w:ind w:left="1744" w:hanging="360"/>
      </w:pPr>
      <w:rPr>
        <w:rFonts w:hint="default"/>
        <w:lang w:val="en-US" w:eastAsia="en-US" w:bidi="en-US"/>
      </w:rPr>
    </w:lvl>
    <w:lvl w:ilvl="7" w:tplc="CE8E96F4">
      <w:numFmt w:val="bullet"/>
      <w:lvlText w:val="•"/>
      <w:lvlJc w:val="left"/>
      <w:pPr>
        <w:ind w:left="1952" w:hanging="360"/>
      </w:pPr>
      <w:rPr>
        <w:rFonts w:hint="default"/>
        <w:lang w:val="en-US" w:eastAsia="en-US" w:bidi="en-US"/>
      </w:rPr>
    </w:lvl>
    <w:lvl w:ilvl="8" w:tplc="97FAC4F6">
      <w:numFmt w:val="bullet"/>
      <w:lvlText w:val="•"/>
      <w:lvlJc w:val="left"/>
      <w:pPr>
        <w:ind w:left="2159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50691460"/>
    <w:multiLevelType w:val="hybridMultilevel"/>
    <w:tmpl w:val="B9C406C6"/>
    <w:lvl w:ilvl="0" w:tplc="12A221D8">
      <w:start w:val="5"/>
      <w:numFmt w:val="lowerLetter"/>
      <w:lvlText w:val="%1."/>
      <w:lvlJc w:val="left"/>
      <w:pPr>
        <w:ind w:left="1000" w:hanging="360"/>
        <w:jc w:val="right"/>
      </w:pPr>
      <w:rPr>
        <w:rFonts w:hint="default"/>
        <w:spacing w:val="-13"/>
        <w:w w:val="99"/>
        <w:lang w:val="en-US" w:eastAsia="en-US" w:bidi="en-US"/>
      </w:rPr>
    </w:lvl>
    <w:lvl w:ilvl="1" w:tplc="D4CE63B2">
      <w:numFmt w:val="bullet"/>
      <w:lvlText w:val="•"/>
      <w:lvlJc w:val="left"/>
      <w:pPr>
        <w:ind w:left="1440" w:hanging="360"/>
      </w:pPr>
      <w:rPr>
        <w:rFonts w:hint="default"/>
        <w:lang w:val="en-US" w:eastAsia="en-US" w:bidi="en-US"/>
      </w:rPr>
    </w:lvl>
    <w:lvl w:ilvl="2" w:tplc="F7B6A1D8">
      <w:numFmt w:val="bullet"/>
      <w:lvlText w:val="•"/>
      <w:lvlJc w:val="left"/>
      <w:pPr>
        <w:ind w:left="1881" w:hanging="360"/>
      </w:pPr>
      <w:rPr>
        <w:rFonts w:hint="default"/>
        <w:lang w:val="en-US" w:eastAsia="en-US" w:bidi="en-US"/>
      </w:rPr>
    </w:lvl>
    <w:lvl w:ilvl="3" w:tplc="8C40E086">
      <w:numFmt w:val="bullet"/>
      <w:lvlText w:val="•"/>
      <w:lvlJc w:val="left"/>
      <w:pPr>
        <w:ind w:left="2322" w:hanging="360"/>
      </w:pPr>
      <w:rPr>
        <w:rFonts w:hint="default"/>
        <w:lang w:val="en-US" w:eastAsia="en-US" w:bidi="en-US"/>
      </w:rPr>
    </w:lvl>
    <w:lvl w:ilvl="4" w:tplc="36304880">
      <w:numFmt w:val="bullet"/>
      <w:lvlText w:val="•"/>
      <w:lvlJc w:val="left"/>
      <w:pPr>
        <w:ind w:left="2763" w:hanging="360"/>
      </w:pPr>
      <w:rPr>
        <w:rFonts w:hint="default"/>
        <w:lang w:val="en-US" w:eastAsia="en-US" w:bidi="en-US"/>
      </w:rPr>
    </w:lvl>
    <w:lvl w:ilvl="5" w:tplc="D5328656">
      <w:numFmt w:val="bullet"/>
      <w:lvlText w:val="•"/>
      <w:lvlJc w:val="left"/>
      <w:pPr>
        <w:ind w:left="3204" w:hanging="360"/>
      </w:pPr>
      <w:rPr>
        <w:rFonts w:hint="default"/>
        <w:lang w:val="en-US" w:eastAsia="en-US" w:bidi="en-US"/>
      </w:rPr>
    </w:lvl>
    <w:lvl w:ilvl="6" w:tplc="008EB6E2">
      <w:numFmt w:val="bullet"/>
      <w:lvlText w:val="•"/>
      <w:lvlJc w:val="left"/>
      <w:pPr>
        <w:ind w:left="3645" w:hanging="360"/>
      </w:pPr>
      <w:rPr>
        <w:rFonts w:hint="default"/>
        <w:lang w:val="en-US" w:eastAsia="en-US" w:bidi="en-US"/>
      </w:rPr>
    </w:lvl>
    <w:lvl w:ilvl="7" w:tplc="91224588">
      <w:numFmt w:val="bullet"/>
      <w:lvlText w:val="•"/>
      <w:lvlJc w:val="left"/>
      <w:pPr>
        <w:ind w:left="4086" w:hanging="360"/>
      </w:pPr>
      <w:rPr>
        <w:rFonts w:hint="default"/>
        <w:lang w:val="en-US" w:eastAsia="en-US" w:bidi="en-US"/>
      </w:rPr>
    </w:lvl>
    <w:lvl w:ilvl="8" w:tplc="D35AA762">
      <w:numFmt w:val="bullet"/>
      <w:lvlText w:val="•"/>
      <w:lvlJc w:val="left"/>
      <w:pPr>
        <w:ind w:left="4527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5CB72C06"/>
    <w:multiLevelType w:val="hybridMultilevel"/>
    <w:tmpl w:val="3246FB4A"/>
    <w:lvl w:ilvl="0" w:tplc="10443D68">
      <w:start w:val="1"/>
      <w:numFmt w:val="decimal"/>
      <w:lvlText w:val="%1)"/>
      <w:lvlJc w:val="left"/>
      <w:pPr>
        <w:ind w:left="639" w:hanging="360"/>
        <w:jc w:val="right"/>
      </w:pPr>
      <w:rPr>
        <w:rFonts w:hint="default"/>
        <w:b/>
        <w:bCs/>
        <w:spacing w:val="-1"/>
        <w:w w:val="100"/>
        <w:lang w:val="en-US" w:eastAsia="en-US" w:bidi="en-US"/>
      </w:rPr>
    </w:lvl>
    <w:lvl w:ilvl="1" w:tplc="0DB40274">
      <w:start w:val="1"/>
      <w:numFmt w:val="lowerLetter"/>
      <w:lvlText w:val="%2."/>
      <w:lvlJc w:val="left"/>
      <w:pPr>
        <w:ind w:left="1540" w:hanging="360"/>
        <w:jc w:val="righ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n-US" w:eastAsia="en-US" w:bidi="en-US"/>
      </w:rPr>
    </w:lvl>
    <w:lvl w:ilvl="2" w:tplc="989052D8">
      <w:numFmt w:val="bullet"/>
      <w:lvlText w:val="•"/>
      <w:lvlJc w:val="left"/>
      <w:pPr>
        <w:ind w:left="1905" w:hanging="360"/>
      </w:pPr>
      <w:rPr>
        <w:rFonts w:hint="default"/>
        <w:lang w:val="en-US" w:eastAsia="en-US" w:bidi="en-US"/>
      </w:rPr>
    </w:lvl>
    <w:lvl w:ilvl="3" w:tplc="BE0C861E">
      <w:numFmt w:val="bullet"/>
      <w:lvlText w:val="•"/>
      <w:lvlJc w:val="left"/>
      <w:pPr>
        <w:ind w:left="2271" w:hanging="360"/>
      </w:pPr>
      <w:rPr>
        <w:rFonts w:hint="default"/>
        <w:lang w:val="en-US" w:eastAsia="en-US" w:bidi="en-US"/>
      </w:rPr>
    </w:lvl>
    <w:lvl w:ilvl="4" w:tplc="BB0412E2">
      <w:numFmt w:val="bullet"/>
      <w:lvlText w:val="•"/>
      <w:lvlJc w:val="left"/>
      <w:pPr>
        <w:ind w:left="2637" w:hanging="360"/>
      </w:pPr>
      <w:rPr>
        <w:rFonts w:hint="default"/>
        <w:lang w:val="en-US" w:eastAsia="en-US" w:bidi="en-US"/>
      </w:rPr>
    </w:lvl>
    <w:lvl w:ilvl="5" w:tplc="A9E8B250">
      <w:numFmt w:val="bullet"/>
      <w:lvlText w:val="•"/>
      <w:lvlJc w:val="left"/>
      <w:pPr>
        <w:ind w:left="3003" w:hanging="360"/>
      </w:pPr>
      <w:rPr>
        <w:rFonts w:hint="default"/>
        <w:lang w:val="en-US" w:eastAsia="en-US" w:bidi="en-US"/>
      </w:rPr>
    </w:lvl>
    <w:lvl w:ilvl="6" w:tplc="4CE2D932">
      <w:numFmt w:val="bullet"/>
      <w:lvlText w:val="•"/>
      <w:lvlJc w:val="left"/>
      <w:pPr>
        <w:ind w:left="3369" w:hanging="360"/>
      </w:pPr>
      <w:rPr>
        <w:rFonts w:hint="default"/>
        <w:lang w:val="en-US" w:eastAsia="en-US" w:bidi="en-US"/>
      </w:rPr>
    </w:lvl>
    <w:lvl w:ilvl="7" w:tplc="D2BAC276">
      <w:numFmt w:val="bullet"/>
      <w:lvlText w:val="•"/>
      <w:lvlJc w:val="left"/>
      <w:pPr>
        <w:ind w:left="3735" w:hanging="360"/>
      </w:pPr>
      <w:rPr>
        <w:rFonts w:hint="default"/>
        <w:lang w:val="en-US" w:eastAsia="en-US" w:bidi="en-US"/>
      </w:rPr>
    </w:lvl>
    <w:lvl w:ilvl="8" w:tplc="DA3CA956">
      <w:numFmt w:val="bullet"/>
      <w:lvlText w:val="•"/>
      <w:lvlJc w:val="left"/>
      <w:pPr>
        <w:ind w:left="4101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7D712773"/>
    <w:multiLevelType w:val="hybridMultilevel"/>
    <w:tmpl w:val="47306E6E"/>
    <w:lvl w:ilvl="0" w:tplc="F5B24486">
      <w:start w:val="1"/>
      <w:numFmt w:val="decimal"/>
      <w:lvlText w:val="%1)"/>
      <w:lvlJc w:val="left"/>
      <w:pPr>
        <w:ind w:left="640" w:hanging="360"/>
        <w:jc w:val="left"/>
      </w:pPr>
      <w:rPr>
        <w:rFonts w:hint="default"/>
        <w:b/>
        <w:bCs/>
        <w:spacing w:val="-1"/>
        <w:w w:val="100"/>
        <w:lang w:val="en-US" w:eastAsia="en-US" w:bidi="en-US"/>
      </w:rPr>
    </w:lvl>
    <w:lvl w:ilvl="1" w:tplc="5C6E5236">
      <w:start w:val="1"/>
      <w:numFmt w:val="lowerLetter"/>
      <w:lvlText w:val="%2."/>
      <w:lvlJc w:val="left"/>
      <w:pPr>
        <w:ind w:left="1000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n-US" w:eastAsia="en-US" w:bidi="en-US"/>
      </w:rPr>
    </w:lvl>
    <w:lvl w:ilvl="2" w:tplc="3900358C">
      <w:numFmt w:val="bullet"/>
      <w:lvlText w:val="•"/>
      <w:lvlJc w:val="left"/>
      <w:pPr>
        <w:ind w:left="1489" w:hanging="360"/>
      </w:pPr>
      <w:rPr>
        <w:rFonts w:hint="default"/>
        <w:lang w:val="en-US" w:eastAsia="en-US" w:bidi="en-US"/>
      </w:rPr>
    </w:lvl>
    <w:lvl w:ilvl="3" w:tplc="94561370">
      <w:numFmt w:val="bullet"/>
      <w:lvlText w:val="•"/>
      <w:lvlJc w:val="left"/>
      <w:pPr>
        <w:ind w:left="1979" w:hanging="360"/>
      </w:pPr>
      <w:rPr>
        <w:rFonts w:hint="default"/>
        <w:lang w:val="en-US" w:eastAsia="en-US" w:bidi="en-US"/>
      </w:rPr>
    </w:lvl>
    <w:lvl w:ilvl="4" w:tplc="33C69E1C">
      <w:numFmt w:val="bullet"/>
      <w:lvlText w:val="•"/>
      <w:lvlJc w:val="left"/>
      <w:pPr>
        <w:ind w:left="2469" w:hanging="360"/>
      </w:pPr>
      <w:rPr>
        <w:rFonts w:hint="default"/>
        <w:lang w:val="en-US" w:eastAsia="en-US" w:bidi="en-US"/>
      </w:rPr>
    </w:lvl>
    <w:lvl w:ilvl="5" w:tplc="30BE3AC8">
      <w:numFmt w:val="bullet"/>
      <w:lvlText w:val="•"/>
      <w:lvlJc w:val="left"/>
      <w:pPr>
        <w:ind w:left="2959" w:hanging="360"/>
      </w:pPr>
      <w:rPr>
        <w:rFonts w:hint="default"/>
        <w:lang w:val="en-US" w:eastAsia="en-US" w:bidi="en-US"/>
      </w:rPr>
    </w:lvl>
    <w:lvl w:ilvl="6" w:tplc="90FA42B8">
      <w:numFmt w:val="bullet"/>
      <w:lvlText w:val="•"/>
      <w:lvlJc w:val="left"/>
      <w:pPr>
        <w:ind w:left="3449" w:hanging="360"/>
      </w:pPr>
      <w:rPr>
        <w:rFonts w:hint="default"/>
        <w:lang w:val="en-US" w:eastAsia="en-US" w:bidi="en-US"/>
      </w:rPr>
    </w:lvl>
    <w:lvl w:ilvl="7" w:tplc="FE3A827C">
      <w:numFmt w:val="bullet"/>
      <w:lvlText w:val="•"/>
      <w:lvlJc w:val="left"/>
      <w:pPr>
        <w:ind w:left="3939" w:hanging="360"/>
      </w:pPr>
      <w:rPr>
        <w:rFonts w:hint="default"/>
        <w:lang w:val="en-US" w:eastAsia="en-US" w:bidi="en-US"/>
      </w:rPr>
    </w:lvl>
    <w:lvl w:ilvl="8" w:tplc="45AEA0BA">
      <w:numFmt w:val="bullet"/>
      <w:lvlText w:val="•"/>
      <w:lvlJc w:val="left"/>
      <w:pPr>
        <w:ind w:left="4429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07D9"/>
    <w:rsid w:val="00434940"/>
    <w:rsid w:val="004A19B4"/>
    <w:rsid w:val="006857E5"/>
    <w:rsid w:val="008A5569"/>
    <w:rsid w:val="00A43F73"/>
    <w:rsid w:val="00A67B9E"/>
    <w:rsid w:val="00C743D6"/>
    <w:rsid w:val="00D607D9"/>
    <w:rsid w:val="00D7741B"/>
    <w:rsid w:val="00F3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28BF0"/>
  <w15:docId w15:val="{6A57234B-D427-4170-857E-27C91C0B9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897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97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86F1B-0FD1-4960-92FF-BE2B33CCC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</dc:creator>
  <cp:lastModifiedBy>Luis Lanazca</cp:lastModifiedBy>
  <cp:revision>8</cp:revision>
  <dcterms:created xsi:type="dcterms:W3CDTF">2021-01-09T20:21:00Z</dcterms:created>
  <dcterms:modified xsi:type="dcterms:W3CDTF">2021-01-13T17:22:00Z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2020-08-04T00:00:00Z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2021-01-09T00:00:00Z</vt:filetime>
  </property>
</Properties>
</file>