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3C00F9" w:rsidP="00C43A43">
      <w:pPr>
        <w:pStyle w:val="Title"/>
      </w:pPr>
      <w:r>
        <w:t>Lassen</w:t>
      </w:r>
      <w:r w:rsidR="003C0252">
        <w:t xml:space="preserve"> </w:t>
      </w:r>
      <w:bookmarkStart w:id="0" w:name="_GoBack"/>
      <w:bookmarkEnd w:id="0"/>
      <w:r w:rsidR="004D2317">
        <w:t>C</w:t>
      </w:r>
      <w:r w:rsidR="004D2317" w:rsidRPr="00FB0FF1">
        <w:t xml:space="preserve">ounty: </w:t>
      </w:r>
      <w:r w:rsidR="005B3EAA">
        <w:t>Data Notebook 2014</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Date: April 20, 2014</w:t>
      </w:r>
    </w:p>
    <w:p w:rsidR="00726A10" w:rsidRPr="00146D04" w:rsidRDefault="0098663F" w:rsidP="00E71203">
      <w:pPr>
        <w:rPr>
          <w:sz w:val="22"/>
          <w:szCs w:val="22"/>
        </w:rPr>
      </w:pPr>
      <w:r>
        <w:rPr>
          <w:noProof/>
          <w:sz w:val="22"/>
          <w:szCs w:val="22"/>
        </w:rPr>
        <w:pict>
          <v:rect id="Rectangle 396" o:spid="_x0000_s1026" style="position:absolute;margin-left:-14.25pt;margin-top:-13.95pt;width:141pt;height:160.5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v:textbox>
            <w10:wrap type="square" anchorx="margin" anchory="margin"/>
          </v:rect>
        </w:pict>
      </w:r>
      <w:r w:rsidR="00726A10" w:rsidRPr="00146D04">
        <w:rPr>
          <w:sz w:val="22"/>
          <w:szCs w:val="22"/>
        </w:rPr>
        <w:t>To:         Chairpersons and/or Directors</w:t>
      </w:r>
    </w:p>
    <w:p w:rsidR="00726A10" w:rsidRPr="00146D04" w:rsidRDefault="007B0FE3" w:rsidP="007B0FE3">
      <w:pPr>
        <w:pStyle w:val="BodyTextIndent2"/>
        <w:rPr>
          <w:sz w:val="22"/>
          <w:szCs w:val="22"/>
        </w:rPr>
      </w:pPr>
      <w:r>
        <w:rPr>
          <w:sz w:val="22"/>
          <w:szCs w:val="22"/>
        </w:rPr>
        <w:tab/>
      </w:r>
      <w:r w:rsidR="00726A10"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98663F" w:rsidP="00726A10">
      <w:pPr>
        <w:rPr>
          <w:sz w:val="22"/>
          <w:szCs w:val="22"/>
        </w:rPr>
      </w:pPr>
      <w:hyperlink r:id="rId11"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 xml:space="preserve">Some data comes from APS Healthcare/EQRO, which gave permission to use their figures and tables, prepared for review of each county’s </w:t>
      </w:r>
      <w:proofErr w:type="spellStart"/>
      <w:r w:rsidRPr="00146D04">
        <w:rPr>
          <w:sz w:val="22"/>
          <w:szCs w:val="22"/>
        </w:rPr>
        <w:t>Medi</w:t>
      </w:r>
      <w:proofErr w:type="spellEnd"/>
      <w:r w:rsidRPr="00146D04">
        <w:rPr>
          <w:sz w:val="22"/>
          <w:szCs w:val="22"/>
        </w:rPr>
        <w:t xml:space="preserve">-Cal Specialty Mental Health </w:t>
      </w:r>
      <w:proofErr w:type="spellStart"/>
      <w:r w:rsidRPr="00146D04">
        <w:rPr>
          <w:sz w:val="22"/>
          <w:szCs w:val="22"/>
        </w:rPr>
        <w:t>services.Data</w:t>
      </w:r>
      <w:proofErr w:type="spellEnd"/>
      <w:r w:rsidRPr="00146D04">
        <w:rPr>
          <w:sz w:val="22"/>
          <w:szCs w:val="22"/>
        </w:rPr>
        <w:t xml:space="preserve">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003C00F9">
        <w:rPr>
          <w:sz w:val="22"/>
          <w:szCs w:val="22"/>
          <w:u w:val="single"/>
        </w:rPr>
        <w:t>_</w:t>
      </w:r>
      <w:r w:rsidR="00726A10" w:rsidRPr="00146D04">
        <w:rPr>
          <w:sz w:val="22"/>
          <w:szCs w:val="22"/>
        </w:rPr>
        <w:t xml:space="preserve">__ Fiscal Year 2013 -- 2014:   </w:t>
      </w:r>
      <w:hyperlink r:id="rId12" w:history="1">
        <w:r w:rsidR="00726A10" w:rsidRPr="00146D04">
          <w:rPr>
            <w:rStyle w:val="Hyperlink"/>
            <w:sz w:val="22"/>
            <w:szCs w:val="22"/>
          </w:rPr>
          <w:t>http://caeqro.com/webx/.ee85675/</w:t>
        </w:r>
      </w:hyperlink>
    </w:p>
    <w:p w:rsidR="00726A10" w:rsidRPr="00146D04" w:rsidRDefault="003C00F9" w:rsidP="00E71203">
      <w:pPr>
        <w:ind w:firstLine="720"/>
        <w:rPr>
          <w:sz w:val="22"/>
          <w:szCs w:val="22"/>
        </w:rPr>
      </w:pPr>
      <w:r>
        <w:rPr>
          <w:sz w:val="22"/>
          <w:szCs w:val="22"/>
        </w:rPr>
        <w:t>__</w:t>
      </w:r>
      <w:r w:rsidRPr="003C00F9">
        <w:rPr>
          <w:sz w:val="22"/>
          <w:szCs w:val="22"/>
          <w:u w:val="single"/>
        </w:rPr>
        <w:t>X</w:t>
      </w:r>
      <w:r w:rsidR="00726A10" w:rsidRPr="00146D04">
        <w:rPr>
          <w:sz w:val="22"/>
          <w:szCs w:val="22"/>
        </w:rPr>
        <w:t xml:space="preserve">__ Fiscal Year 2012 -- 2013:   </w:t>
      </w:r>
      <w:hyperlink r:id="rId13" w:history="1">
        <w:r w:rsidR="00726A10"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Pr="009C5BDA" w:rsidRDefault="003C00F9" w:rsidP="003644DB">
      <w:pPr>
        <w:pStyle w:val="Title"/>
      </w:pPr>
      <w:r>
        <w:lastRenderedPageBreak/>
        <w:t xml:space="preserve">Lassen </w:t>
      </w:r>
      <w:r w:rsidR="003644DB">
        <w:t>County:  Data Notebook 2014</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3C00F9" w:rsidRDefault="003644DB" w:rsidP="003644DB">
      <w:pPr>
        <w:rPr>
          <w:rFonts w:eastAsia="Times New Roman"/>
          <w:sz w:val="20"/>
          <w:szCs w:val="20"/>
        </w:rPr>
      </w:pPr>
      <w:r w:rsidRPr="00A9360B">
        <w:t xml:space="preserve">County Name:  </w:t>
      </w:r>
      <w:r w:rsidR="003C00F9">
        <w:rPr>
          <w:b/>
          <w:sz w:val="28"/>
          <w:szCs w:val="28"/>
        </w:rPr>
        <w:t>Lassen</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3C00F9" w:rsidRPr="003C00F9">
        <w:rPr>
          <w:rFonts w:eastAsia="Times New Roman"/>
        </w:rPr>
        <w:t>32,726</w:t>
      </w:r>
    </w:p>
    <w:p w:rsidR="003644DB" w:rsidRPr="00A9360B" w:rsidRDefault="003644DB" w:rsidP="003644DB">
      <w:pPr>
        <w:rPr>
          <w:u w:val="single"/>
        </w:rPr>
      </w:pPr>
      <w:r>
        <w:t>Website for County Department</w:t>
      </w:r>
      <w:r w:rsidRPr="00A9360B">
        <w:t xml:space="preserve"> of Mental Health</w:t>
      </w:r>
      <w:r>
        <w:t xml:space="preserve"> (MH) </w:t>
      </w:r>
      <w:proofErr w:type="spellStart"/>
      <w:r w:rsidRPr="003644DB">
        <w:rPr>
          <w:u w:val="single"/>
        </w:rPr>
        <w:t>or</w:t>
      </w:r>
      <w:r w:rsidRPr="00A9360B">
        <w:t>Behavioral</w:t>
      </w:r>
      <w:proofErr w:type="spellEnd"/>
      <w:r w:rsidRPr="00A9360B">
        <w:t xml:space="preserve"> Health:</w:t>
      </w:r>
    </w:p>
    <w:p w:rsidR="003644DB" w:rsidRPr="00A9360B" w:rsidRDefault="003644DB" w:rsidP="003644DB">
      <w:r w:rsidRPr="00A9360B">
        <w:tab/>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t>________________________________________________________________</w:t>
      </w:r>
    </w:p>
    <w:p w:rsidR="003644DB" w:rsidRPr="00A9360B" w:rsidRDefault="003644DB" w:rsidP="003644DB">
      <w:r w:rsidRPr="00A9360B">
        <w:t xml:space="preserve">Website for Local </w:t>
      </w:r>
      <w:r>
        <w:t xml:space="preserve">County </w:t>
      </w:r>
      <w:r w:rsidRPr="00A9360B">
        <w:t xml:space="preserve">MH Data and Reports: </w:t>
      </w:r>
    </w:p>
    <w:p w:rsidR="003644DB" w:rsidRPr="00A9360B" w:rsidRDefault="003644DB" w:rsidP="003644DB">
      <w:pPr>
        <w:ind w:firstLine="720"/>
      </w:pPr>
      <w:r w:rsidRPr="00A9360B">
        <w:t>________________________________________________________________</w:t>
      </w:r>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3644DB" w:rsidP="003644DB">
      <w:pPr>
        <w:ind w:firstLine="720"/>
      </w:pPr>
      <w:r w:rsidRPr="00A9360B">
        <w:t>________________________________________________________________</w:t>
      </w:r>
    </w:p>
    <w:p w:rsidR="003644DB" w:rsidRDefault="003644DB" w:rsidP="003644DB">
      <w:r>
        <w:t xml:space="preserve">Specialty MH Data </w:t>
      </w:r>
      <w:r w:rsidR="001C4A7D">
        <w:t xml:space="preserve">from </w:t>
      </w:r>
      <w:r>
        <w:t xml:space="preserve">review Year 2013-2014:   </w:t>
      </w:r>
      <w:hyperlink r:id="rId14" w:history="1">
        <w:r w:rsidR="00F94AB8" w:rsidRPr="00953B12">
          <w:rPr>
            <w:rStyle w:val="Hyperlink"/>
          </w:rPr>
          <w:t>http://caeqro.com/webx/.ee85ab0/</w:t>
        </w:r>
      </w:hyperlink>
    </w:p>
    <w:p w:rsidR="003644DB" w:rsidRPr="00A9360B" w:rsidRDefault="003644DB" w:rsidP="003644DB">
      <w:r>
        <w:t>Total number of p</w:t>
      </w:r>
      <w:r w:rsidRPr="00A9360B">
        <w:t>ersons re</w:t>
      </w:r>
      <w:r>
        <w:t xml:space="preserve">ceiving </w:t>
      </w:r>
      <w:proofErr w:type="spellStart"/>
      <w:r>
        <w:t>Medi</w:t>
      </w:r>
      <w:proofErr w:type="spellEnd"/>
      <w:r>
        <w:t xml:space="preserve">-Cal in your </w:t>
      </w:r>
      <w:proofErr w:type="gramStart"/>
      <w:r>
        <w:t>county(</w:t>
      </w:r>
      <w:proofErr w:type="gramEnd"/>
      <w:r w:rsidRPr="00A9360B">
        <w:t>2012</w:t>
      </w:r>
      <w:r>
        <w:t xml:space="preserve">):  </w:t>
      </w:r>
      <w:r w:rsidR="00F94AB8">
        <w:t xml:space="preserve">   6,801</w:t>
      </w:r>
    </w:p>
    <w:p w:rsidR="003644DB" w:rsidRDefault="003644DB" w:rsidP="003644DB">
      <w:pPr>
        <w:ind w:firstLine="720"/>
      </w:pPr>
      <w:r w:rsidRPr="00A9360B">
        <w:t xml:space="preserve">Average number </w:t>
      </w:r>
      <w:proofErr w:type="spellStart"/>
      <w:r w:rsidRPr="00A9360B">
        <w:t>Medi</w:t>
      </w:r>
      <w:proofErr w:type="spellEnd"/>
      <w:r w:rsidRPr="00A9360B">
        <w:t>-Cal eli</w:t>
      </w:r>
      <w:r>
        <w:t xml:space="preserve">gible persons per month:  </w:t>
      </w:r>
      <w:r w:rsidR="00F94AB8">
        <w:t>5,160</w:t>
      </w:r>
    </w:p>
    <w:p w:rsidR="003644DB" w:rsidRPr="00A9360B" w:rsidRDefault="003644DB" w:rsidP="003644DB">
      <w:r>
        <w:tab/>
        <w:t xml:space="preserve">Percent of </w:t>
      </w:r>
      <w:proofErr w:type="spellStart"/>
      <w:r>
        <w:t>Medi</w:t>
      </w:r>
      <w:proofErr w:type="spellEnd"/>
      <w:r>
        <w:t>-Cal eligible persons who were:</w:t>
      </w:r>
    </w:p>
    <w:p w:rsidR="003644DB" w:rsidRDefault="003644DB" w:rsidP="003644DB">
      <w:r>
        <w:tab/>
      </w:r>
      <w:r>
        <w:tab/>
        <w:t xml:space="preserve">Children, ages 0-17:  </w:t>
      </w:r>
      <w:r w:rsidR="003C00F9">
        <w:t xml:space="preserve">42.1 </w:t>
      </w:r>
      <w:r>
        <w:t>%</w:t>
      </w:r>
    </w:p>
    <w:p w:rsidR="003644DB" w:rsidRDefault="003644DB" w:rsidP="003644DB">
      <w:pPr>
        <w:ind w:left="720" w:firstLine="720"/>
      </w:pPr>
      <w:r>
        <w:t xml:space="preserve">Adults, ages 18-59:  </w:t>
      </w:r>
      <w:r w:rsidR="00F94AB8">
        <w:t>45.3</w:t>
      </w:r>
      <w:r>
        <w:t>%</w:t>
      </w:r>
    </w:p>
    <w:p w:rsidR="003644DB" w:rsidRDefault="003644DB" w:rsidP="003644DB">
      <w:pPr>
        <w:ind w:left="720" w:firstLine="720"/>
        <w:rPr>
          <w:u w:val="single"/>
        </w:rPr>
      </w:pPr>
      <w:r>
        <w:t xml:space="preserve">Adults, Ages 60 and Over:  </w:t>
      </w:r>
      <w:r w:rsidR="00F94AB8">
        <w:t>12.6</w:t>
      </w:r>
      <w:r>
        <w:t>%</w:t>
      </w:r>
      <w:r w:rsidRPr="00A9360B">
        <w:tab/>
      </w:r>
      <w:r w:rsidRPr="00A9360B">
        <w:tab/>
      </w:r>
    </w:p>
    <w:p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p>
    <w:p w:rsidR="003644DB" w:rsidRDefault="003644DB" w:rsidP="003644DB">
      <w:r w:rsidRPr="00A9360B">
        <w:tab/>
      </w:r>
      <w:r>
        <w:t>Percent of Specialty MH service recipients who were:</w:t>
      </w:r>
      <w:r w:rsidR="00F94AB8">
        <w:t xml:space="preserve">    584</w:t>
      </w:r>
    </w:p>
    <w:p w:rsidR="003644DB" w:rsidRDefault="003644DB" w:rsidP="003644DB">
      <w:pPr>
        <w:ind w:left="720" w:firstLine="720"/>
      </w:pPr>
      <w:r>
        <w:t>Children 0-17</w:t>
      </w:r>
      <w:r w:rsidRPr="00A9360B">
        <w:t>:</w:t>
      </w:r>
      <w:r w:rsidR="00F94AB8">
        <w:t>30.8</w:t>
      </w:r>
      <w:r>
        <w:t>%</w:t>
      </w:r>
    </w:p>
    <w:p w:rsidR="003644DB" w:rsidRDefault="003644DB" w:rsidP="003644DB">
      <w:pPr>
        <w:ind w:left="720" w:firstLine="720"/>
      </w:pPr>
      <w:r w:rsidRPr="00A9360B">
        <w:t xml:space="preserve">Adults 18-59: </w:t>
      </w:r>
      <w:r w:rsidR="00F94AB8">
        <w:t>64.7</w:t>
      </w:r>
      <w:r>
        <w:t>%</w:t>
      </w:r>
    </w:p>
    <w:p w:rsidR="00CB31BC" w:rsidRDefault="003644DB" w:rsidP="006867F9">
      <w:pPr>
        <w:ind w:left="720" w:firstLine="720"/>
      </w:pPr>
      <w:r w:rsidRPr="00A9360B">
        <w:t xml:space="preserve">Adults 60 and Over: </w:t>
      </w:r>
      <w:r w:rsidR="00F94AB8">
        <w:t>4.5</w:t>
      </w:r>
      <w: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proofErr w:type="gramStart"/>
      <w:r>
        <w:t>assist</w:t>
      </w:r>
      <w:proofErr w:type="gramEnd"/>
      <w:r>
        <w:t xml:space="preserve"> local boards to meet their mandates to review the local county mental health systems, identify unmet needs, and recommend improvements. </w:t>
      </w:r>
    </w:p>
    <w:p w:rsidR="00E50DE2" w:rsidRDefault="00E50DE2" w:rsidP="00E50DE2">
      <w:pPr>
        <w:pStyle w:val="ListParagraph"/>
        <w:numPr>
          <w:ilvl w:val="0"/>
          <w:numId w:val="18"/>
        </w:numPr>
      </w:pPr>
      <w:proofErr w:type="gramStart"/>
      <w:r>
        <w:t>provide</w:t>
      </w:r>
      <w:proofErr w:type="gramEnd"/>
      <w:r>
        <w:t xml:space="preserve"> a professional format for submitting reports to their local Board of Supervisors, and/or their county Director of Mental Health Services.</w:t>
      </w:r>
    </w:p>
    <w:p w:rsidR="00E50DE2" w:rsidRDefault="00E50DE2" w:rsidP="00E50DE2">
      <w:pPr>
        <w:pStyle w:val="ListParagraph"/>
        <w:numPr>
          <w:ilvl w:val="0"/>
          <w:numId w:val="18"/>
        </w:numPr>
      </w:pPr>
      <w:proofErr w:type="gramStart"/>
      <w:r>
        <w:t>function</w:t>
      </w:r>
      <w:proofErr w:type="gramEnd"/>
      <w:r>
        <w:t xml:space="preserve">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proofErr w:type="gramStart"/>
      <w:r>
        <w:t>help</w:t>
      </w:r>
      <w:proofErr w:type="gramEnd"/>
      <w:r>
        <w:t xml:space="preserve">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proofErr w:type="spellStart"/>
      <w:r w:rsidR="008423B9">
        <w:t>is</w:t>
      </w:r>
      <w:r>
        <w:t>not</w:t>
      </w:r>
      <w:proofErr w:type="spellEnd"/>
      <w:r>
        <w:t xml:space="preserve">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proofErr w:type="gramStart"/>
      <w:r>
        <w:t>clien</w:t>
      </w:r>
      <w:r w:rsidR="00C91363">
        <w:t>t</w:t>
      </w:r>
      <w:proofErr w:type="gramEnd"/>
      <w:r w:rsidR="00C91363">
        <w:t xml:space="preserve"> outcomes data provided by California Institute of Mental Health (</w:t>
      </w:r>
      <w:proofErr w:type="spellStart"/>
      <w:r w:rsidR="00C91363">
        <w:t>CiMH</w:t>
      </w:r>
      <w:proofErr w:type="spellEnd"/>
      <w:r w:rsidR="00C91363">
        <w:t>)</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xml:space="preserve">, prepared </w:t>
      </w:r>
      <w:proofErr w:type="spellStart"/>
      <w:r w:rsidR="00A67A65">
        <w:t>for</w:t>
      </w:r>
      <w:r w:rsidRPr="000C291B">
        <w:t>review</w:t>
      </w:r>
      <w:proofErr w:type="spellEnd"/>
      <w:r w:rsidRPr="000C291B">
        <w:t xml:space="preserve"> </w:t>
      </w:r>
      <w:r>
        <w:t xml:space="preserve">of </w:t>
      </w:r>
      <w:r w:rsidR="00A67A65">
        <w:t xml:space="preserve">each county’s </w:t>
      </w:r>
      <w:proofErr w:type="spellStart"/>
      <w:r w:rsidRPr="000C291B">
        <w:t>Medi</w:t>
      </w:r>
      <w:proofErr w:type="spellEnd"/>
      <w:r w:rsidRPr="000C291B">
        <w:t>-Cal Specialty Mental Health services.</w:t>
      </w:r>
      <w:r>
        <w:t xml:space="preserve">  Those </w:t>
      </w:r>
      <w:r w:rsidRPr="000C291B">
        <w:t>review</w:t>
      </w:r>
      <w:r>
        <w:t xml:space="preserve">s are </w:t>
      </w:r>
      <w:r w:rsidRPr="000C291B">
        <w:t xml:space="preserve">at:  </w:t>
      </w:r>
      <w:hyperlink r:id="rId15"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proofErr w:type="spellStart"/>
      <w:r>
        <w:t>summarizekey</w:t>
      </w:r>
      <w:proofErr w:type="spellEnd"/>
      <w:r>
        <w:t xml:space="preserve">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p>
    <w:p w:rsidR="00C91363" w:rsidRDefault="007756D4" w:rsidP="00C91363">
      <w:pPr>
        <w:pStyle w:val="ListParagraph"/>
        <w:numPr>
          <w:ilvl w:val="0"/>
          <w:numId w:val="26"/>
        </w:numPr>
      </w:pPr>
      <w:r>
        <w:t>whether more people from different groups are receiving services</w:t>
      </w:r>
    </w:p>
    <w:p w:rsidR="00464DC8" w:rsidRDefault="00D95115" w:rsidP="00C91363">
      <w:pPr>
        <w:pStyle w:val="ListParagraph"/>
        <w:numPr>
          <w:ilvl w:val="0"/>
          <w:numId w:val="26"/>
        </w:numPr>
      </w:pPr>
      <w:proofErr w:type="gramStart"/>
      <w:r>
        <w:t>how</w:t>
      </w:r>
      <w:proofErr w:type="gramEnd"/>
      <w:r>
        <w:t xml:space="preserve">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proofErr w:type="gramStart"/>
      <w:r>
        <w:t>tell</w:t>
      </w:r>
      <w:proofErr w:type="gramEnd"/>
      <w:r>
        <w:t xml:space="preserve">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proofErr w:type="gramStart"/>
      <w:r>
        <w:t>we</w:t>
      </w:r>
      <w:proofErr w:type="gramEnd"/>
      <w:r>
        <w:t xml:space="preserv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 xml:space="preserve">always </w:t>
      </w:r>
      <w:proofErr w:type="spellStart"/>
      <w:r w:rsidR="00795A53" w:rsidRPr="00A332B3">
        <w:t>welcome</w:t>
      </w:r>
      <w:r w:rsidR="00A332B3">
        <w:t>supplemental</w:t>
      </w:r>
      <w:proofErr w:type="spellEnd"/>
      <w:r w:rsidR="00A332B3">
        <w:t xml:space="preserve"> reports </w:t>
      </w:r>
      <w:r>
        <w:t xml:space="preserve">about successful </w:t>
      </w:r>
      <w:proofErr w:type="spellStart"/>
      <w:r w:rsidR="00795A53">
        <w:t>projects</w:t>
      </w:r>
      <w:proofErr w:type="gramStart"/>
      <w:r>
        <w:t>,or</w:t>
      </w:r>
      <w:proofErr w:type="spellEnd"/>
      <w:proofErr w:type="gramEnd"/>
      <w:r>
        <w:t xml:space="preserve">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proofErr w:type="spellStart"/>
      <w:r w:rsidR="007756D4">
        <w:t>are</w:t>
      </w:r>
      <w:r w:rsidR="00795A53" w:rsidRPr="007756D4">
        <w:rPr>
          <w:u w:val="single"/>
        </w:rPr>
        <w:t>not</w:t>
      </w:r>
      <w:proofErr w:type="spellEnd"/>
      <w:r w:rsidR="00795A53" w:rsidRPr="007756D4">
        <w:rPr>
          <w:u w:val="single"/>
        </w:rPr>
        <w:t xml:space="preserve">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w:t>
      </w:r>
      <w:r w:rsidR="00CE4F01">
        <w:rPr>
          <w:rFonts w:eastAsia="Times New Roman"/>
          <w:color w:val="000000"/>
        </w:rPr>
        <w:t>X</w:t>
      </w:r>
      <w:r w:rsidRPr="00C43A43">
        <w:rPr>
          <w:rFonts w:eastAsia="Times New Roman"/>
          <w:color w:val="000000"/>
        </w:rPr>
        <w:t>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E4F01" w:rsidRDefault="00C43A43" w:rsidP="00CE4F01">
      <w:pPr>
        <w:pStyle w:val="ListParagraph"/>
        <w:numPr>
          <w:ilvl w:val="0"/>
          <w:numId w:val="31"/>
        </w:numPr>
        <w:shd w:val="clear" w:color="auto" w:fill="FFFFFF"/>
        <w:rPr>
          <w:rFonts w:eastAsia="Times New Roman"/>
          <w:b/>
          <w:color w:val="000000"/>
        </w:rPr>
      </w:pPr>
      <w:r w:rsidRPr="00CE4F01">
        <w:rPr>
          <w:rFonts w:eastAsia="Times New Roman"/>
          <w:b/>
          <w:color w:val="000000"/>
        </w:rPr>
        <w:t>Please describe any efforts in your county to improve t</w:t>
      </w:r>
      <w:r w:rsidR="00CE4F01" w:rsidRPr="00CE4F01">
        <w:rPr>
          <w:rFonts w:eastAsia="Times New Roman"/>
          <w:b/>
          <w:color w:val="000000"/>
        </w:rPr>
        <w:t>he physical health of clients. </w:t>
      </w:r>
    </w:p>
    <w:p w:rsidR="00CE4F01" w:rsidRPr="009E6CFC" w:rsidRDefault="008370E1" w:rsidP="009E6CFC">
      <w:pPr>
        <w:shd w:val="clear" w:color="auto" w:fill="FFFFFF"/>
        <w:ind w:left="360"/>
        <w:rPr>
          <w:rFonts w:ascii="Times New Roman" w:eastAsia="Times New Roman" w:hAnsi="Times New Roman" w:cs="Times New Roman"/>
          <w:color w:val="000000"/>
        </w:rPr>
      </w:pPr>
      <w:r w:rsidRPr="009E6CFC">
        <w:rPr>
          <w:rFonts w:ascii="Times New Roman" w:eastAsia="Times New Roman" w:hAnsi="Times New Roman" w:cs="Times New Roman"/>
          <w:color w:val="000000"/>
        </w:rPr>
        <w:t xml:space="preserve"> Lassen County </w:t>
      </w:r>
      <w:r w:rsidR="009E6CFC">
        <w:rPr>
          <w:rFonts w:ascii="Times New Roman" w:eastAsia="Times New Roman" w:hAnsi="Times New Roman" w:cs="Times New Roman"/>
          <w:color w:val="000000"/>
        </w:rPr>
        <w:t xml:space="preserve">began </w:t>
      </w:r>
      <w:r w:rsidR="00EE4CC5">
        <w:rPr>
          <w:rFonts w:ascii="Times New Roman" w:eastAsia="Times New Roman" w:hAnsi="Times New Roman" w:cs="Times New Roman"/>
          <w:color w:val="000000"/>
        </w:rPr>
        <w:t xml:space="preserve">introducing </w:t>
      </w:r>
      <w:r w:rsidR="009E6CFC">
        <w:rPr>
          <w:rFonts w:ascii="Times New Roman" w:eastAsia="Times New Roman" w:hAnsi="Times New Roman" w:cs="Times New Roman"/>
          <w:color w:val="000000"/>
        </w:rPr>
        <w:t>integrat</w:t>
      </w:r>
      <w:r w:rsidR="00EE4CC5">
        <w:rPr>
          <w:rFonts w:ascii="Times New Roman" w:eastAsia="Times New Roman" w:hAnsi="Times New Roman" w:cs="Times New Roman"/>
          <w:color w:val="000000"/>
        </w:rPr>
        <w:t>ion using SAMHSA-</w:t>
      </w:r>
      <w:r w:rsidR="00325017">
        <w:rPr>
          <w:rFonts w:ascii="Times New Roman" w:eastAsia="Times New Roman" w:hAnsi="Times New Roman" w:cs="Times New Roman"/>
          <w:color w:val="000000"/>
        </w:rPr>
        <w:t xml:space="preserve"> HRSA</w:t>
      </w:r>
      <w:r w:rsidR="009E6CFC">
        <w:rPr>
          <w:rFonts w:ascii="Times New Roman" w:eastAsia="Times New Roman" w:hAnsi="Times New Roman" w:cs="Times New Roman"/>
          <w:color w:val="000000"/>
        </w:rPr>
        <w:t xml:space="preserve"> integration </w:t>
      </w:r>
      <w:proofErr w:type="spellStart"/>
      <w:r w:rsidR="00EE4CC5">
        <w:rPr>
          <w:rFonts w:ascii="Times New Roman" w:eastAsia="Times New Roman" w:hAnsi="Times New Roman" w:cs="Times New Roman"/>
          <w:color w:val="000000"/>
        </w:rPr>
        <w:t>weninars</w:t>
      </w:r>
      <w:proofErr w:type="spellEnd"/>
      <w:r w:rsidR="00EE4CC5">
        <w:rPr>
          <w:rFonts w:ascii="Times New Roman" w:eastAsia="Times New Roman" w:hAnsi="Times New Roman" w:cs="Times New Roman"/>
          <w:color w:val="000000"/>
        </w:rPr>
        <w:t xml:space="preserve"> and recommendations. We contracted</w:t>
      </w:r>
      <w:r w:rsidR="009E6CFC">
        <w:rPr>
          <w:rFonts w:ascii="Times New Roman" w:eastAsia="Times New Roman" w:hAnsi="Times New Roman" w:cs="Times New Roman"/>
          <w:color w:val="000000"/>
        </w:rPr>
        <w:t xml:space="preserve"> with consultants Dr. Ken </w:t>
      </w:r>
      <w:proofErr w:type="spellStart"/>
      <w:r w:rsidR="009E6CFC">
        <w:rPr>
          <w:rFonts w:ascii="Times New Roman" w:eastAsia="Times New Roman" w:hAnsi="Times New Roman" w:cs="Times New Roman"/>
          <w:color w:val="000000"/>
        </w:rPr>
        <w:t>Minkoff</w:t>
      </w:r>
      <w:proofErr w:type="spellEnd"/>
      <w:r w:rsidR="009E6CFC">
        <w:rPr>
          <w:rFonts w:ascii="Times New Roman" w:eastAsia="Times New Roman" w:hAnsi="Times New Roman" w:cs="Times New Roman"/>
          <w:color w:val="000000"/>
        </w:rPr>
        <w:t xml:space="preserve"> and Dr. Chris Cline and learned to assess our capabilities for integration treating the whole person.</w:t>
      </w:r>
      <w:r w:rsidR="00FC2CC5">
        <w:rPr>
          <w:rFonts w:ascii="Times New Roman" w:eastAsia="Times New Roman" w:hAnsi="Times New Roman" w:cs="Times New Roman"/>
          <w:color w:val="000000"/>
        </w:rPr>
        <w:t xml:space="preserve"> Our first step was integrating substance use services with mental hea</w:t>
      </w:r>
      <w:r w:rsidR="00EE4CC5">
        <w:rPr>
          <w:rFonts w:ascii="Times New Roman" w:eastAsia="Times New Roman" w:hAnsi="Times New Roman" w:cs="Times New Roman"/>
          <w:color w:val="000000"/>
        </w:rPr>
        <w:t xml:space="preserve">lth services explored </w:t>
      </w:r>
      <w:r w:rsidR="00FC2CC5">
        <w:rPr>
          <w:rFonts w:ascii="Times New Roman" w:eastAsia="Times New Roman" w:hAnsi="Times New Roman" w:cs="Times New Roman"/>
          <w:color w:val="000000"/>
        </w:rPr>
        <w:t xml:space="preserve">strategies for </w:t>
      </w:r>
      <w:r w:rsidR="00EE4CC5">
        <w:rPr>
          <w:rFonts w:ascii="Times New Roman" w:eastAsia="Times New Roman" w:hAnsi="Times New Roman" w:cs="Times New Roman"/>
          <w:color w:val="000000"/>
        </w:rPr>
        <w:t xml:space="preserve">co-locating or </w:t>
      </w:r>
      <w:r w:rsidR="00FC2CC5">
        <w:rPr>
          <w:rFonts w:ascii="Times New Roman" w:eastAsia="Times New Roman" w:hAnsi="Times New Roman" w:cs="Times New Roman"/>
          <w:color w:val="000000"/>
        </w:rPr>
        <w:t xml:space="preserve">working </w:t>
      </w:r>
      <w:r w:rsidR="009E6CFC">
        <w:rPr>
          <w:rFonts w:ascii="Times New Roman" w:eastAsia="Times New Roman" w:hAnsi="Times New Roman" w:cs="Times New Roman"/>
          <w:color w:val="000000"/>
        </w:rPr>
        <w:t>with primary healthcare</w:t>
      </w:r>
      <w:r w:rsidR="00EE4CC5">
        <w:rPr>
          <w:rFonts w:ascii="Times New Roman" w:eastAsia="Times New Roman" w:hAnsi="Times New Roman" w:cs="Times New Roman"/>
          <w:color w:val="000000"/>
        </w:rPr>
        <w:t xml:space="preserve"> providers. We currently </w:t>
      </w:r>
      <w:r w:rsidR="009E6CFC">
        <w:rPr>
          <w:rFonts w:ascii="Times New Roman" w:eastAsia="Times New Roman" w:hAnsi="Times New Roman" w:cs="Times New Roman"/>
          <w:color w:val="000000"/>
        </w:rPr>
        <w:t>have an ongoing dialog</w:t>
      </w:r>
      <w:r w:rsidR="00EE4CC5">
        <w:rPr>
          <w:rFonts w:ascii="Times New Roman" w:eastAsia="Times New Roman" w:hAnsi="Times New Roman" w:cs="Times New Roman"/>
          <w:color w:val="000000"/>
        </w:rPr>
        <w:t xml:space="preserve"> with our community clinics building professional</w:t>
      </w:r>
      <w:r w:rsidRPr="009E6CFC">
        <w:rPr>
          <w:rFonts w:ascii="Times New Roman" w:eastAsia="Times New Roman" w:hAnsi="Times New Roman" w:cs="Times New Roman"/>
          <w:color w:val="000000"/>
        </w:rPr>
        <w:t xml:space="preserve"> relationships</w:t>
      </w:r>
      <w:r w:rsidR="00EE4CC5">
        <w:rPr>
          <w:rFonts w:ascii="Times New Roman" w:eastAsia="Times New Roman" w:hAnsi="Times New Roman" w:cs="Times New Roman"/>
          <w:color w:val="000000"/>
        </w:rPr>
        <w:t>. A beginning step that has been successful is we found common ground in</w:t>
      </w:r>
      <w:r w:rsidRPr="009E6CFC">
        <w:rPr>
          <w:rFonts w:ascii="Times New Roman" w:eastAsia="Times New Roman" w:hAnsi="Times New Roman" w:cs="Times New Roman"/>
          <w:color w:val="000000"/>
        </w:rPr>
        <w:t xml:space="preserve"> </w:t>
      </w:r>
      <w:r w:rsidR="00CE4F01" w:rsidRPr="009E6CFC">
        <w:rPr>
          <w:rFonts w:ascii="Times New Roman" w:eastAsia="Times New Roman" w:hAnsi="Times New Roman" w:cs="Times New Roman"/>
          <w:color w:val="000000"/>
        </w:rPr>
        <w:t>Primary Prevention Strategies</w:t>
      </w:r>
      <w:r w:rsidRPr="009E6CFC">
        <w:rPr>
          <w:rFonts w:ascii="Times New Roman" w:eastAsia="Times New Roman" w:hAnsi="Times New Roman" w:cs="Times New Roman"/>
          <w:color w:val="000000"/>
        </w:rPr>
        <w:t xml:space="preserve"> like </w:t>
      </w:r>
      <w:r w:rsidR="00CE4F01" w:rsidRPr="009E6CFC">
        <w:rPr>
          <w:rFonts w:ascii="Times New Roman" w:eastAsia="Times New Roman" w:hAnsi="Times New Roman" w:cs="Times New Roman"/>
          <w:color w:val="000000"/>
        </w:rPr>
        <w:t>Screening Brief Interven</w:t>
      </w:r>
      <w:r w:rsidRPr="009E6CFC">
        <w:rPr>
          <w:rFonts w:ascii="Times New Roman" w:eastAsia="Times New Roman" w:hAnsi="Times New Roman" w:cs="Times New Roman"/>
          <w:color w:val="000000"/>
        </w:rPr>
        <w:t xml:space="preserve">tion Referral to Treatment SBIRT.  We </w:t>
      </w:r>
      <w:proofErr w:type="gramStart"/>
      <w:r w:rsidRPr="009E6CFC">
        <w:rPr>
          <w:rFonts w:ascii="Times New Roman" w:eastAsia="Times New Roman" w:hAnsi="Times New Roman" w:cs="Times New Roman"/>
          <w:color w:val="000000"/>
        </w:rPr>
        <w:t xml:space="preserve">offer </w:t>
      </w:r>
      <w:r w:rsidR="00EE4CC5">
        <w:rPr>
          <w:rFonts w:ascii="Times New Roman" w:eastAsia="Times New Roman" w:hAnsi="Times New Roman" w:cs="Times New Roman"/>
          <w:color w:val="000000"/>
        </w:rPr>
        <w:t xml:space="preserve"> PCP</w:t>
      </w:r>
      <w:proofErr w:type="gramEnd"/>
      <w:r w:rsidR="00EE4CC5">
        <w:rPr>
          <w:rFonts w:ascii="Times New Roman" w:eastAsia="Times New Roman" w:hAnsi="Times New Roman" w:cs="Times New Roman"/>
          <w:color w:val="000000"/>
        </w:rPr>
        <w:t xml:space="preserve"> </w:t>
      </w:r>
      <w:r w:rsidRPr="009E6CFC">
        <w:rPr>
          <w:rFonts w:ascii="Times New Roman" w:eastAsia="Times New Roman" w:hAnsi="Times New Roman" w:cs="Times New Roman"/>
          <w:color w:val="000000"/>
        </w:rPr>
        <w:t xml:space="preserve">trainings, and have improved </w:t>
      </w:r>
      <w:r w:rsidR="0033565E">
        <w:rPr>
          <w:rFonts w:ascii="Times New Roman" w:eastAsia="Times New Roman" w:hAnsi="Times New Roman" w:cs="Times New Roman"/>
          <w:color w:val="000000"/>
        </w:rPr>
        <w:t xml:space="preserve">a </w:t>
      </w:r>
      <w:r w:rsidR="00EE4CC5">
        <w:rPr>
          <w:rFonts w:ascii="Times New Roman" w:eastAsia="Times New Roman" w:hAnsi="Times New Roman" w:cs="Times New Roman"/>
          <w:color w:val="000000"/>
        </w:rPr>
        <w:t xml:space="preserve">treatment </w:t>
      </w:r>
      <w:r w:rsidR="0033565E">
        <w:rPr>
          <w:rFonts w:ascii="Times New Roman" w:eastAsia="Times New Roman" w:hAnsi="Times New Roman" w:cs="Times New Roman"/>
          <w:color w:val="000000"/>
        </w:rPr>
        <w:t>referral process.  C</w:t>
      </w:r>
      <w:r w:rsidRPr="009E6CFC">
        <w:rPr>
          <w:rFonts w:ascii="Times New Roman" w:eastAsia="Times New Roman" w:hAnsi="Times New Roman" w:cs="Times New Roman"/>
          <w:color w:val="000000"/>
        </w:rPr>
        <w:t xml:space="preserve">ase management </w:t>
      </w:r>
      <w:r w:rsidR="0033565E">
        <w:rPr>
          <w:rFonts w:ascii="Times New Roman" w:eastAsia="Times New Roman" w:hAnsi="Times New Roman" w:cs="Times New Roman"/>
          <w:color w:val="000000"/>
        </w:rPr>
        <w:t xml:space="preserve">includes updating and sharing </w:t>
      </w:r>
      <w:r w:rsidRPr="009E6CFC">
        <w:rPr>
          <w:rFonts w:ascii="Times New Roman" w:eastAsia="Times New Roman" w:hAnsi="Times New Roman" w:cs="Times New Roman"/>
          <w:color w:val="000000"/>
        </w:rPr>
        <w:t>health care visits as indicated</w:t>
      </w:r>
      <w:r w:rsidR="0033565E">
        <w:rPr>
          <w:rFonts w:ascii="Times New Roman" w:eastAsia="Times New Roman" w:hAnsi="Times New Roman" w:cs="Times New Roman"/>
          <w:color w:val="000000"/>
        </w:rPr>
        <w:t xml:space="preserve"> on services plans</w:t>
      </w:r>
      <w:r w:rsidRPr="009E6CFC">
        <w:rPr>
          <w:rFonts w:ascii="Times New Roman" w:eastAsia="Times New Roman" w:hAnsi="Times New Roman" w:cs="Times New Roman"/>
          <w:color w:val="000000"/>
        </w:rPr>
        <w:t>. We developed</w:t>
      </w:r>
      <w:r w:rsidR="0033565E">
        <w:rPr>
          <w:rFonts w:ascii="Times New Roman" w:eastAsia="Times New Roman" w:hAnsi="Times New Roman" w:cs="Times New Roman"/>
          <w:color w:val="000000"/>
        </w:rPr>
        <w:t xml:space="preserve"> a</w:t>
      </w:r>
      <w:r w:rsidRPr="009E6CFC">
        <w:rPr>
          <w:rFonts w:ascii="Times New Roman" w:eastAsia="Times New Roman" w:hAnsi="Times New Roman" w:cs="Times New Roman"/>
          <w:color w:val="000000"/>
        </w:rPr>
        <w:t xml:space="preserve"> program improvement strategy f</w:t>
      </w:r>
      <w:r w:rsidR="0033565E">
        <w:rPr>
          <w:rFonts w:ascii="Times New Roman" w:eastAsia="Times New Roman" w:hAnsi="Times New Roman" w:cs="Times New Roman"/>
          <w:color w:val="000000"/>
        </w:rPr>
        <w:t xml:space="preserve">or client access by assuring a nurse visit, orientation and medical records review for each new client. Regular </w:t>
      </w:r>
      <w:r w:rsidRPr="009E6CFC">
        <w:rPr>
          <w:rFonts w:ascii="Times New Roman" w:eastAsia="Times New Roman" w:hAnsi="Times New Roman" w:cs="Times New Roman"/>
          <w:color w:val="000000"/>
        </w:rPr>
        <w:t xml:space="preserve">staff trainings </w:t>
      </w:r>
      <w:r w:rsidR="0033565E">
        <w:rPr>
          <w:rFonts w:ascii="Times New Roman" w:eastAsia="Times New Roman" w:hAnsi="Times New Roman" w:cs="Times New Roman"/>
          <w:color w:val="000000"/>
        </w:rPr>
        <w:t xml:space="preserve">are held for understanding the impacts of </w:t>
      </w:r>
      <w:r w:rsidRPr="009E6CFC">
        <w:rPr>
          <w:rFonts w:ascii="Times New Roman" w:eastAsia="Times New Roman" w:hAnsi="Times New Roman" w:cs="Times New Roman"/>
          <w:color w:val="000000"/>
        </w:rPr>
        <w:t>the Affordable Care Act, Meaningful Use with Elect</w:t>
      </w:r>
      <w:r w:rsidR="0033565E">
        <w:rPr>
          <w:rFonts w:ascii="Times New Roman" w:eastAsia="Times New Roman" w:hAnsi="Times New Roman" w:cs="Times New Roman"/>
          <w:color w:val="000000"/>
        </w:rPr>
        <w:t>ronic Health Records as it relates to improving client care with bi-d</w:t>
      </w:r>
      <w:r w:rsidRPr="009E6CFC">
        <w:rPr>
          <w:rFonts w:ascii="Times New Roman" w:eastAsia="Times New Roman" w:hAnsi="Times New Roman" w:cs="Times New Roman"/>
          <w:color w:val="000000"/>
        </w:rPr>
        <w:t>irectional</w:t>
      </w:r>
      <w:r w:rsidR="0033565E">
        <w:rPr>
          <w:rFonts w:ascii="Times New Roman" w:eastAsia="Times New Roman" w:hAnsi="Times New Roman" w:cs="Times New Roman"/>
          <w:color w:val="000000"/>
        </w:rPr>
        <w:t xml:space="preserve"> PCP and Pharmacy communication</w:t>
      </w:r>
      <w:r w:rsidRPr="009E6CFC">
        <w:rPr>
          <w:rFonts w:ascii="Times New Roman" w:eastAsia="Times New Roman" w:hAnsi="Times New Roman" w:cs="Times New Roman"/>
          <w:color w:val="000000"/>
        </w:rPr>
        <w:t xml:space="preserve">. </w:t>
      </w:r>
    </w:p>
    <w:p w:rsidR="00C91363" w:rsidRPr="009E6CFC" w:rsidRDefault="00C91363" w:rsidP="00C43A43">
      <w:pPr>
        <w:shd w:val="clear" w:color="auto" w:fill="FFFFFF"/>
        <w:rPr>
          <w:rFonts w:eastAsia="Times New Roman"/>
          <w:color w:val="000000"/>
        </w:rPr>
      </w:pPr>
    </w:p>
    <w:p w:rsidR="00C43A43" w:rsidRPr="0033565E" w:rsidRDefault="00C43A43" w:rsidP="00C43A43">
      <w:pPr>
        <w:shd w:val="clear" w:color="auto" w:fill="FFFFFF"/>
        <w:rPr>
          <w:rFonts w:eastAsia="Times New Roman"/>
          <w:b/>
          <w:color w:val="000000"/>
        </w:rPr>
      </w:pPr>
      <w:r w:rsidRPr="00C43A43">
        <w:rPr>
          <w:rFonts w:eastAsia="Times New Roman"/>
          <w:b/>
          <w:color w:val="000000"/>
        </w:rPr>
        <w:lastRenderedPageBreak/>
        <w:t xml:space="preserve">2)  How does your county address wellness programs to engage and motivate clients to take charge of improving their physical health? </w:t>
      </w:r>
      <w:r w:rsidRPr="00C43A43">
        <w:rPr>
          <w:rFonts w:eastAsia="Times New Roman"/>
          <w:color w:val="000000"/>
        </w:rPr>
        <w:t xml:space="preserve">     </w:t>
      </w:r>
    </w:p>
    <w:p w:rsidR="008370E1" w:rsidRDefault="008370E1" w:rsidP="00C43A43">
      <w:pPr>
        <w:pStyle w:val="ListParagraph"/>
        <w:numPr>
          <w:ilvl w:val="0"/>
          <w:numId w:val="22"/>
        </w:numPr>
        <w:shd w:val="clear" w:color="auto" w:fill="FFFFFF"/>
        <w:spacing w:after="0" w:line="240" w:lineRule="auto"/>
        <w:rPr>
          <w:rFonts w:eastAsia="Times New Roman"/>
          <w:color w:val="000000"/>
        </w:rPr>
      </w:pPr>
      <w:r>
        <w:rPr>
          <w:rFonts w:eastAsia="Times New Roman"/>
          <w:color w:val="000000"/>
        </w:rPr>
        <w:t xml:space="preserve">Lassen County provides weekly group sessions utilizing evidence based </w:t>
      </w:r>
      <w:proofErr w:type="gramStart"/>
      <w:r>
        <w:rPr>
          <w:rFonts w:eastAsia="Times New Roman"/>
          <w:color w:val="000000"/>
        </w:rPr>
        <w:t>curriculum  on</w:t>
      </w:r>
      <w:proofErr w:type="gramEnd"/>
      <w:r>
        <w:rPr>
          <w:rFonts w:eastAsia="Times New Roman"/>
          <w:color w:val="000000"/>
        </w:rPr>
        <w:t xml:space="preserve"> Whole Health Action, Management (WHAM) . This is a 12 week program that includes these elements to empower the clients to take charge of their wellness</w:t>
      </w:r>
      <w:r w:rsidR="0033565E">
        <w:rPr>
          <w:rFonts w:eastAsia="Times New Roman"/>
          <w:color w:val="000000"/>
        </w:rPr>
        <w:t xml:space="preserve">, </w:t>
      </w:r>
      <w:r>
        <w:rPr>
          <w:rFonts w:eastAsia="Times New Roman"/>
          <w:color w:val="000000"/>
        </w:rPr>
        <w:t>.including:</w:t>
      </w:r>
    </w:p>
    <w:p w:rsidR="008370E1" w:rsidRDefault="008370E1" w:rsidP="008370E1">
      <w:pPr>
        <w:pStyle w:val="ListParagraph"/>
        <w:numPr>
          <w:ilvl w:val="0"/>
          <w:numId w:val="22"/>
        </w:numPr>
        <w:shd w:val="clear" w:color="auto" w:fill="FFFFFF"/>
        <w:spacing w:after="0" w:line="240" w:lineRule="auto"/>
        <w:rPr>
          <w:rFonts w:eastAsia="Times New Roman"/>
          <w:color w:val="000000"/>
        </w:rPr>
      </w:pPr>
      <w:r>
        <w:rPr>
          <w:rFonts w:eastAsia="Times New Roman"/>
          <w:color w:val="000000"/>
        </w:rPr>
        <w:t>Physical exercise</w:t>
      </w:r>
    </w:p>
    <w:p w:rsidR="008370E1" w:rsidRPr="008370E1" w:rsidRDefault="008370E1" w:rsidP="008370E1">
      <w:pPr>
        <w:pStyle w:val="ListParagraph"/>
        <w:numPr>
          <w:ilvl w:val="0"/>
          <w:numId w:val="22"/>
        </w:numPr>
        <w:shd w:val="clear" w:color="auto" w:fill="FFFFFF"/>
        <w:spacing w:after="0" w:line="240" w:lineRule="auto"/>
        <w:rPr>
          <w:rFonts w:eastAsia="Times New Roman"/>
          <w:color w:val="000000"/>
        </w:rPr>
      </w:pPr>
      <w:r>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8370E1" w:rsidRDefault="00C43A43" w:rsidP="008370E1">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8370E1" w:rsidRDefault="008370E1" w:rsidP="008370E1">
      <w:pPr>
        <w:pStyle w:val="ListParagraph"/>
        <w:numPr>
          <w:ilvl w:val="0"/>
          <w:numId w:val="22"/>
        </w:numPr>
        <w:shd w:val="clear" w:color="auto" w:fill="FFFFFF"/>
        <w:spacing w:after="0" w:line="240" w:lineRule="auto"/>
        <w:rPr>
          <w:rFonts w:eastAsia="Times New Roman"/>
          <w:color w:val="000000"/>
        </w:rPr>
      </w:pPr>
      <w:r>
        <w:rPr>
          <w:rFonts w:eastAsia="Times New Roman"/>
          <w:color w:val="000000"/>
        </w:rPr>
        <w:t>Tobacco Education &amp; Cessation</w:t>
      </w:r>
      <w:r w:rsidR="00C43A43" w:rsidRPr="008370E1">
        <w:rPr>
          <w:rFonts w:eastAsia="Times New Roman"/>
          <w:color w:val="000000"/>
        </w:rPr>
        <w:t xml:space="preserve">             </w:t>
      </w:r>
    </w:p>
    <w:p w:rsidR="00C43A43" w:rsidRPr="00C43A43" w:rsidRDefault="008370E1" w:rsidP="00C43A43">
      <w:pPr>
        <w:pStyle w:val="ListParagraph"/>
        <w:numPr>
          <w:ilvl w:val="0"/>
          <w:numId w:val="22"/>
        </w:numPr>
        <w:shd w:val="clear" w:color="auto" w:fill="FFFFFF"/>
        <w:spacing w:after="0" w:line="240" w:lineRule="auto"/>
        <w:rPr>
          <w:rFonts w:eastAsia="Times New Roman"/>
          <w:color w:val="000000"/>
        </w:rPr>
      </w:pPr>
      <w:r>
        <w:rPr>
          <w:rFonts w:eastAsia="Times New Roman"/>
          <w:color w:val="000000"/>
        </w:rPr>
        <w:t xml:space="preserve"> Symptoms recognition, and </w:t>
      </w:r>
      <w:proofErr w:type="spellStart"/>
      <w:r>
        <w:rPr>
          <w:rFonts w:eastAsia="Times New Roman"/>
          <w:color w:val="000000"/>
        </w:rPr>
        <w:t>managment</w:t>
      </w:r>
      <w:proofErr w:type="spellEnd"/>
    </w:p>
    <w:p w:rsidR="008370E1" w:rsidRDefault="008370E1" w:rsidP="001C4A7D">
      <w:pPr>
        <w:pStyle w:val="ListParagraph"/>
        <w:numPr>
          <w:ilvl w:val="0"/>
          <w:numId w:val="22"/>
        </w:numPr>
        <w:shd w:val="clear" w:color="auto" w:fill="FFFFFF"/>
        <w:spacing w:after="0" w:line="240" w:lineRule="auto"/>
        <w:rPr>
          <w:rFonts w:eastAsia="Times New Roman"/>
          <w:color w:val="000000"/>
        </w:rPr>
      </w:pPr>
      <w:r>
        <w:rPr>
          <w:rFonts w:eastAsia="Times New Roman"/>
          <w:color w:val="000000"/>
        </w:rPr>
        <w:t xml:space="preserve"> S</w:t>
      </w:r>
      <w:r w:rsidR="00C43A43" w:rsidRPr="00C43A43">
        <w:rPr>
          <w:rFonts w:eastAsia="Times New Roman"/>
          <w:color w:val="000000"/>
        </w:rPr>
        <w:t xml:space="preserve">ocial </w:t>
      </w:r>
      <w:r>
        <w:rPr>
          <w:rFonts w:eastAsia="Times New Roman"/>
          <w:color w:val="000000"/>
        </w:rPr>
        <w:t>events and support groups</w:t>
      </w:r>
    </w:p>
    <w:p w:rsidR="008370E1" w:rsidRDefault="008370E1" w:rsidP="008370E1">
      <w:pPr>
        <w:pStyle w:val="ListParagraph"/>
        <w:shd w:val="clear" w:color="auto" w:fill="FFFFFF"/>
        <w:spacing w:after="0" w:line="240" w:lineRule="auto"/>
        <w:rPr>
          <w:rFonts w:eastAsia="Times New Roman"/>
          <w:color w:val="000000"/>
        </w:rPr>
      </w:pPr>
    </w:p>
    <w:p w:rsidR="00C43A43" w:rsidRPr="008370E1" w:rsidRDefault="00C43A43" w:rsidP="008370E1">
      <w:pPr>
        <w:pStyle w:val="ListParagraph"/>
        <w:shd w:val="clear" w:color="auto" w:fill="FFFFFF"/>
        <w:spacing w:after="0" w:line="240" w:lineRule="auto"/>
        <w:rPr>
          <w:rFonts w:eastAsia="Times New Roman"/>
          <w:color w:val="000000"/>
        </w:rPr>
      </w:pPr>
      <w:r w:rsidRPr="001C4A7D">
        <w:t>NEW CLIENTS</w:t>
      </w:r>
      <w:r w:rsidR="001C4A7D" w:rsidRPr="001C4A7D">
        <w:t>: 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 xml:space="preserve">the quality of mental health services outreach is to measure how many clients receive services </w:t>
      </w:r>
      <w:proofErr w:type="gramStart"/>
      <w:r w:rsidRPr="00C43A43">
        <w:rPr>
          <w:rFonts w:eastAsia="Times New Roman"/>
          <w:color w:val="000000"/>
        </w:rPr>
        <w:t>who</w:t>
      </w:r>
      <w:proofErr w:type="gramEnd"/>
      <w:r w:rsidRPr="00C43A43">
        <w:rPr>
          <w:rFonts w:eastAsia="Times New Roman"/>
          <w:color w:val="000000"/>
        </w:rPr>
        <w:t xml:space="preserve"> have never been part of the service system before (“brand new” clients)</w:t>
      </w:r>
      <w:r w:rsidR="001C4A7D">
        <w:rPr>
          <w:rFonts w:eastAsia="Times New Roman"/>
          <w:color w:val="000000"/>
        </w:rPr>
        <w:t>.  Another</w:t>
      </w:r>
      <w:r w:rsidR="008370E1">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 xml:space="preserve">ing whether your county has a “revolving </w:t>
      </w:r>
      <w:proofErr w:type="spellStart"/>
      <w:r w:rsidRPr="00C43A43">
        <w:rPr>
          <w:rFonts w:eastAsia="Times New Roman"/>
          <w:color w:val="000000"/>
        </w:rPr>
        <w:t>door</w:t>
      </w:r>
      <w:r w:rsidR="003755D4">
        <w:rPr>
          <w:rFonts w:eastAsia="Times New Roman"/>
          <w:color w:val="000000"/>
        </w:rPr>
        <w:t>,”</w:t>
      </w:r>
      <w:r w:rsidR="001C4A7D">
        <w:rPr>
          <w:rFonts w:eastAsia="Times New Roman"/>
          <w:color w:val="000000"/>
        </w:rPr>
        <w:t>that</w:t>
      </w:r>
      <w:proofErr w:type="spellEnd"/>
      <w:r w:rsidR="001C4A7D">
        <w:rPr>
          <w:rFonts w:eastAsia="Times New Roman"/>
          <w:color w:val="000000"/>
        </w:rPr>
        <w:t xml:space="preserve">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A80F20"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 xml:space="preserve">have not received services for a while? </w:t>
      </w:r>
      <w:proofErr w:type="gramStart"/>
      <w:r w:rsidRPr="00C43A43">
        <w:rPr>
          <w:rFonts w:eastAsia="Times New Roman"/>
          <w:b/>
          <w:color w:val="000000"/>
        </w:rPr>
        <w:t>(e.g., 6 months, 12 months, 2 years?)</w:t>
      </w:r>
      <w:proofErr w:type="gramEnd"/>
      <w:r w:rsidR="008370E1">
        <w:rPr>
          <w:rFonts w:eastAsia="Times New Roman"/>
          <w:b/>
          <w:color w:val="000000"/>
        </w:rPr>
        <w:t xml:space="preserve"> </w:t>
      </w:r>
    </w:p>
    <w:p w:rsidR="00C43A43" w:rsidRPr="00A80F20" w:rsidRDefault="008370E1" w:rsidP="00C43A43">
      <w:pPr>
        <w:shd w:val="clear" w:color="auto" w:fill="FFFFFF"/>
        <w:rPr>
          <w:rFonts w:eastAsia="Times New Roman"/>
          <w:color w:val="000000"/>
        </w:rPr>
      </w:pPr>
      <w:r w:rsidRPr="00A80F20">
        <w:rPr>
          <w:rFonts w:eastAsia="Times New Roman"/>
          <w:color w:val="000000"/>
        </w:rPr>
        <w:t>Clients who have not received services in 12 months are re-opened with a new service plan and consents updated. LCBH wants clients to be reassessed with a continuous review of progress. Clients who have medical necessity are evaluated for level of care and re-engaged based on those identified needs. These could be called “new clients’ in tha</w:t>
      </w:r>
      <w:r w:rsidR="00A80F20">
        <w:rPr>
          <w:rFonts w:eastAsia="Times New Roman"/>
          <w:color w:val="000000"/>
        </w:rPr>
        <w:t xml:space="preserve">t process as we improve our chronic care model, the clients </w:t>
      </w:r>
      <w:r w:rsidRPr="00A80F20">
        <w:rPr>
          <w:rFonts w:eastAsia="Times New Roman"/>
          <w:color w:val="000000"/>
        </w:rPr>
        <w:t xml:space="preserve"> are </w:t>
      </w:r>
      <w:r w:rsidR="00A80F20">
        <w:rPr>
          <w:rFonts w:eastAsia="Times New Roman"/>
          <w:color w:val="000000"/>
        </w:rPr>
        <w:t xml:space="preserve">identified as </w:t>
      </w:r>
      <w:r w:rsidRPr="00A80F20">
        <w:rPr>
          <w:rFonts w:eastAsia="Times New Roman"/>
          <w:color w:val="000000"/>
        </w:rPr>
        <w:t>continuou</w:t>
      </w:r>
      <w:r w:rsidR="00A80F20">
        <w:rPr>
          <w:rFonts w:eastAsia="Times New Roman"/>
          <w:color w:val="000000"/>
        </w:rPr>
        <w:t xml:space="preserve">s in recovery and an successful outcome measurement with their stated </w:t>
      </w:r>
      <w:r w:rsidRPr="00A80F20">
        <w:rPr>
          <w:rFonts w:eastAsia="Times New Roman"/>
          <w:color w:val="000000"/>
        </w:rPr>
        <w:t>treatment goals is to assist</w:t>
      </w:r>
      <w:r w:rsidR="00A80F20">
        <w:rPr>
          <w:rFonts w:eastAsia="Times New Roman"/>
          <w:color w:val="000000"/>
        </w:rPr>
        <w:t xml:space="preserve"> them to move forward and not hinder them with</w:t>
      </w:r>
      <w:r w:rsidRPr="00A80F20">
        <w:rPr>
          <w:rFonts w:eastAsia="Times New Roman"/>
          <w:color w:val="000000"/>
        </w:rPr>
        <w:t xml:space="preserve"> a label or </w:t>
      </w:r>
      <w:r w:rsidR="00A80F20">
        <w:rPr>
          <w:rFonts w:eastAsia="Times New Roman"/>
          <w:color w:val="000000"/>
        </w:rPr>
        <w:lastRenderedPageBreak/>
        <w:t xml:space="preserve">diagnosis. A new </w:t>
      </w:r>
      <w:proofErr w:type="gramStart"/>
      <w:r w:rsidR="00A80F20">
        <w:rPr>
          <w:rFonts w:eastAsia="Times New Roman"/>
          <w:color w:val="000000"/>
        </w:rPr>
        <w:t>client  has</w:t>
      </w:r>
      <w:proofErr w:type="gramEnd"/>
      <w:r w:rsidR="00A80F20">
        <w:rPr>
          <w:rFonts w:eastAsia="Times New Roman"/>
          <w:color w:val="000000"/>
        </w:rPr>
        <w:t xml:space="preserve"> not</w:t>
      </w:r>
      <w:r w:rsidRPr="00A80F20">
        <w:rPr>
          <w:rFonts w:eastAsia="Times New Roman"/>
          <w:color w:val="000000"/>
        </w:rPr>
        <w:t xml:space="preserve"> received services or “</w:t>
      </w:r>
      <w:r w:rsidR="00A80F20">
        <w:rPr>
          <w:rFonts w:eastAsia="Times New Roman"/>
          <w:color w:val="000000"/>
        </w:rPr>
        <w:t xml:space="preserve">has been </w:t>
      </w:r>
      <w:r w:rsidRPr="00A80F20">
        <w:rPr>
          <w:rFonts w:eastAsia="Times New Roman"/>
          <w:color w:val="000000"/>
        </w:rPr>
        <w:t>newly identified in our tracking system.</w:t>
      </w:r>
    </w:p>
    <w:p w:rsidR="007A5938" w:rsidRDefault="00C43A43" w:rsidP="00C43A43">
      <w:pPr>
        <w:shd w:val="clear" w:color="auto" w:fill="FFFFFF"/>
        <w:rPr>
          <w:rFonts w:eastAsia="Times New Roman"/>
          <w:b/>
          <w:color w:val="000000"/>
        </w:rPr>
      </w:pPr>
      <w:r w:rsidRPr="00C43A43">
        <w:rPr>
          <w:rFonts w:eastAsia="Times New Roman"/>
          <w:color w:val="000000"/>
        </w:rPr>
        <w:t> </w:t>
      </w: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C43A43" w:rsidRPr="008370E1" w:rsidRDefault="007A5938" w:rsidP="00C43A43">
      <w:pPr>
        <w:shd w:val="clear" w:color="auto" w:fill="FFFFFF"/>
        <w:rPr>
          <w:rFonts w:eastAsia="Times New Roman"/>
          <w:color w:val="000000"/>
        </w:rPr>
      </w:pPr>
      <w:r>
        <w:rPr>
          <w:rFonts w:eastAsia="Times New Roman"/>
          <w:b/>
          <w:color w:val="000000"/>
        </w:rPr>
        <w:t>*NOT AVAILABLE AT THIS TIME</w:t>
      </w:r>
    </w:p>
    <w:p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children/youth  </w:t>
      </w:r>
      <w:r w:rsidR="003755D4" w:rsidRPr="00C43A43">
        <w:rPr>
          <w:rFonts w:eastAsia="Times New Roman"/>
          <w:color w:val="000000"/>
        </w:rPr>
        <w:t xml:space="preserve">(0-17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xml:space="preserve">  _____    </w:t>
      </w:r>
      <w:r w:rsidRPr="00C43A43">
        <w:rPr>
          <w:rFonts w:eastAsia="Times New Roman"/>
          <w:color w:val="000000"/>
        </w:rPr>
        <w:tab/>
      </w:r>
    </w:p>
    <w:p w:rsidR="00C43A43"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_____</w:t>
      </w:r>
    </w:p>
    <w:p w:rsidR="003755D4" w:rsidRPr="00C43A43" w:rsidRDefault="003755D4"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adults </w:t>
      </w:r>
      <w:r w:rsidR="003755D4" w:rsidRPr="00C43A43">
        <w:rPr>
          <w:rFonts w:eastAsia="Times New Roman"/>
          <w:color w:val="000000"/>
        </w:rPr>
        <w:t xml:space="preserve">(18-59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xml:space="preserve"> _____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_____</w:t>
      </w:r>
      <w:r w:rsidRPr="00C43A43">
        <w:rPr>
          <w:rFonts w:eastAsia="Times New Roman"/>
          <w:color w:val="000000"/>
        </w:rPr>
        <w:tab/>
      </w:r>
    </w:p>
    <w:p w:rsidR="00C43A43" w:rsidRPr="00C43A43" w:rsidRDefault="00C43A43"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older adults  </w:t>
      </w:r>
      <w:r w:rsidR="003755D4" w:rsidRPr="00C43A43">
        <w:rPr>
          <w:rFonts w:eastAsia="Times New Roman"/>
          <w:color w:val="000000"/>
        </w:rPr>
        <w:t xml:space="preserve">(60+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xml:space="preserve">_____     </w:t>
      </w:r>
      <w:r w:rsidRPr="00C43A43">
        <w:rPr>
          <w:rFonts w:eastAsia="Times New Roman"/>
          <w:color w:val="000000"/>
        </w:rPr>
        <w:tab/>
      </w:r>
      <w:r w:rsidRPr="00C43A43">
        <w:rPr>
          <w:rFonts w:eastAsia="Times New Roman"/>
          <w:color w:val="000000"/>
        </w:rPr>
        <w:tab/>
      </w:r>
    </w:p>
    <w:p w:rsidR="008370E1"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_____   </w:t>
      </w:r>
    </w:p>
    <w:p w:rsidR="008370E1" w:rsidRDefault="007A5938" w:rsidP="00C43A43">
      <w:pPr>
        <w:shd w:val="clear" w:color="auto" w:fill="FFFFFF"/>
        <w:rPr>
          <w:rFonts w:eastAsia="Times New Roman"/>
          <w:color w:val="000000"/>
        </w:rPr>
      </w:pPr>
      <w:r>
        <w:rPr>
          <w:rFonts w:eastAsia="Times New Roman"/>
          <w:color w:val="000000"/>
        </w:rPr>
        <w:t>*</w:t>
      </w:r>
      <w:r w:rsidR="00A80F20">
        <w:rPr>
          <w:rFonts w:eastAsia="Times New Roman"/>
          <w:color w:val="000000"/>
        </w:rPr>
        <w:t xml:space="preserve">This information has not been accessed in our new </w:t>
      </w:r>
      <w:r>
        <w:rPr>
          <w:rFonts w:eastAsia="Times New Roman"/>
          <w:color w:val="000000"/>
        </w:rPr>
        <w:t>electronic system, and reports are not accurate at this time.</w:t>
      </w:r>
    </w:p>
    <w:p w:rsidR="008370E1" w:rsidRDefault="008370E1" w:rsidP="00C43A43">
      <w:pPr>
        <w:shd w:val="clear" w:color="auto" w:fill="FFFFFF"/>
        <w:rPr>
          <w:rFonts w:eastAsia="Times New Roman"/>
          <w:color w:val="000000"/>
        </w:rPr>
      </w:pPr>
    </w:p>
    <w:p w:rsidR="00C43A43" w:rsidRPr="00C43A43" w:rsidRDefault="00C43A43" w:rsidP="00C43A43">
      <w:pPr>
        <w:shd w:val="clear" w:color="auto" w:fill="FFFFFF"/>
        <w:rPr>
          <w:rFonts w:eastAsia="Times New Roman"/>
          <w:color w:val="000000"/>
        </w:rPr>
      </w:pPr>
      <w:r w:rsidRPr="001C4A7D">
        <w:rPr>
          <w:rFonts w:eastAsia="Times New Roman"/>
          <w:color w:val="000000"/>
          <w:sz w:val="28"/>
          <w:szCs w:val="28"/>
        </w:rPr>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2B16D8" w:rsidRDefault="002B16D8" w:rsidP="00C43A43">
      <w:pPr>
        <w:shd w:val="clear" w:color="auto" w:fill="FFFFFF"/>
        <w:rPr>
          <w:rFonts w:eastAsia="Times New Roman"/>
          <w:b/>
          <w:color w:val="000000"/>
        </w:rPr>
      </w:pPr>
    </w:p>
    <w:p w:rsidR="00CD4B6A" w:rsidRPr="00C43A43" w:rsidRDefault="0049382D" w:rsidP="00C43A43">
      <w:pPr>
        <w:shd w:val="clear" w:color="auto" w:fill="FFFFFF"/>
        <w:rPr>
          <w:rFonts w:eastAsia="Times New Roman"/>
          <w:color w:val="000000"/>
        </w:rPr>
      </w:pPr>
      <w:proofErr w:type="spellStart"/>
      <w:r>
        <w:rPr>
          <w:rFonts w:eastAsia="Times New Roman"/>
          <w:b/>
          <w:color w:val="000000"/>
        </w:rPr>
        <w:t>Lassen</w:t>
      </w:r>
      <w:r w:rsidR="00CD4B6A" w:rsidRPr="00CD4B6A">
        <w:rPr>
          <w:rFonts w:eastAsia="Times New Roman"/>
          <w:b/>
          <w:color w:val="000000"/>
        </w:rPr>
        <w:t>County</w:t>
      </w:r>
      <w:proofErr w:type="spellEnd"/>
      <w:r w:rsidR="00CD4B6A">
        <w:rPr>
          <w:rFonts w:eastAsia="Times New Roman"/>
          <w:color w:val="000000"/>
        </w:rPr>
        <w:t>:</w:t>
      </w:r>
    </w:p>
    <w:p w:rsidR="00CD4B6A" w:rsidRPr="00C43A43" w:rsidRDefault="0049382D" w:rsidP="00C43A43">
      <w:pPr>
        <w:shd w:val="clear" w:color="auto" w:fill="FFFFFF"/>
        <w:rPr>
          <w:rFonts w:eastAsia="Times New Roman"/>
          <w:color w:val="000000"/>
        </w:rPr>
      </w:pPr>
      <w:r>
        <w:rPr>
          <w:noProof/>
        </w:rPr>
        <w:lastRenderedPageBreak/>
        <w:drawing>
          <wp:inline distT="0" distB="0" distL="0" distR="0">
            <wp:extent cx="5626186" cy="487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31166" cy="4881117"/>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C43A43">
        <w:rPr>
          <w:rFonts w:eastAsia="Times New Roman"/>
          <w:b/>
          <w:color w:val="000000"/>
        </w:rPr>
        <w:lastRenderedPageBreak/>
        <w:t xml:space="preserve">6.  </w:t>
      </w:r>
      <w:proofErr w:type="gramStart"/>
      <w:r w:rsidRPr="00C43A43">
        <w:rPr>
          <w:rFonts w:eastAsia="Times New Roman"/>
          <w:b/>
          <w:color w:val="000000"/>
        </w:rPr>
        <w:t>Looking</w:t>
      </w:r>
      <w:proofErr w:type="gramEnd"/>
      <w:r w:rsidRPr="00C43A43">
        <w:rPr>
          <w:rFonts w:eastAsia="Times New Roman"/>
          <w:b/>
          <w:color w:val="000000"/>
        </w:rPr>
        <w:t xml:space="preserve"> at the chart, is your county doing better or worse than the state?  Discuss why (e.g., your county has programming available that specifically ensures a warm handoff for follow-up services). </w:t>
      </w:r>
    </w:p>
    <w:p w:rsidR="00C43A43" w:rsidRDefault="008370E1" w:rsidP="00C43A43">
      <w:pPr>
        <w:rPr>
          <w:b/>
        </w:rPr>
      </w:pPr>
      <w:r>
        <w:t>Looking at the chart, our county is doing about average. We have implemented a warm hand off from crisis to stabilization. The success of the LCBH “Rebound” program is dependent on an open and continuous communication channel with the admitting hospitals</w:t>
      </w:r>
      <w:r w:rsidR="007A5938">
        <w:t>, discharge planners, and ER personnel</w:t>
      </w:r>
      <w:r>
        <w:t>. Discharge planning begins early centered on targeted case management for engaging the client with welcoming support. Our clients have transportation arranged and appointments scheduled for their follow up. Some clients still fall through the cracks and our quality review team uses these instances to improve the system of follow up procedures.</w:t>
      </w:r>
      <w:r w:rsidR="007A5938">
        <w:t xml:space="preserve"> </w:t>
      </w:r>
      <w:r w:rsidR="00C43A43" w:rsidRPr="00C43A43">
        <w:rPr>
          <w:b/>
        </w:rPr>
        <w:t>7.  Do you have any suggestions on how your county can improve follow-up and reduce re-hospitalizations?</w:t>
      </w:r>
    </w:p>
    <w:p w:rsidR="007A5938" w:rsidRPr="00C43A43" w:rsidRDefault="007A5938" w:rsidP="007A5938">
      <w:r>
        <w:t xml:space="preserve">Our 24/7 crisis and On Call Providers work with us to provide daily documentation </w:t>
      </w:r>
      <w:proofErr w:type="gramStart"/>
      <w:r>
        <w:t>for  immediate</w:t>
      </w:r>
      <w:proofErr w:type="gramEnd"/>
      <w:r>
        <w:t xml:space="preserve"> follow up on any calls after hours.</w:t>
      </w:r>
    </w:p>
    <w:p w:rsidR="008370E1" w:rsidRDefault="008370E1" w:rsidP="00C43A43">
      <w:r>
        <w:t xml:space="preserve">Lassen County Behavioral Health works closely with Lassen Aurora Network, a local </w:t>
      </w:r>
      <w:proofErr w:type="spellStart"/>
      <w:r>
        <w:t>non profit</w:t>
      </w:r>
      <w:proofErr w:type="spellEnd"/>
      <w:r>
        <w:t xml:space="preserve"> organization serving the community by providing a safe environment for drop </w:t>
      </w:r>
      <w:proofErr w:type="gramStart"/>
      <w:r>
        <w:t>ins</w:t>
      </w:r>
      <w:proofErr w:type="gramEnd"/>
      <w:r>
        <w:t xml:space="preserve"> and mental health awareness and education. They connect utilizing peer volunteers with lived experience. They work closely with Behavioral Health, serve on the BH Advisory Board and help extend our outreach capabilities to those clients who do not access well. </w:t>
      </w:r>
    </w:p>
    <w:p w:rsidR="00C43A43" w:rsidRPr="00C43A43" w:rsidRDefault="008370E1" w:rsidP="00C43A43">
      <w:r>
        <w:t xml:space="preserve">We are currently </w:t>
      </w:r>
      <w:r w:rsidR="007A5938">
        <w:t xml:space="preserve">diligently </w:t>
      </w:r>
      <w:r>
        <w:t xml:space="preserve">working on developing </w:t>
      </w:r>
      <w:r w:rsidRPr="007A5938">
        <w:rPr>
          <w:i/>
        </w:rPr>
        <w:t>a recovery oriented system of care.</w:t>
      </w:r>
      <w:r>
        <w:t xml:space="preserve"> This includes offering a</w:t>
      </w:r>
      <w:r w:rsidR="007A5938">
        <w:t xml:space="preserve"> new</w:t>
      </w:r>
      <w:r>
        <w:t xml:space="preserve"> day program that is</w:t>
      </w:r>
      <w:r w:rsidR="007A5938">
        <w:t xml:space="preserve"> located on the clinic site. This proposed</w:t>
      </w:r>
      <w:r w:rsidR="00A55868">
        <w:t xml:space="preserve"> New Horizons</w:t>
      </w:r>
      <w:r>
        <w:t xml:space="preserve"> Recovery Center </w:t>
      </w:r>
      <w:r w:rsidR="00A55868">
        <w:t xml:space="preserve">(NHRC) </w:t>
      </w:r>
      <w:r>
        <w:t xml:space="preserve">will be </w:t>
      </w:r>
      <w:r w:rsidR="00A55868">
        <w:t xml:space="preserve">staffed with LCBH Case Workers and Volunteers. It will </w:t>
      </w:r>
      <w:r>
        <w:t xml:space="preserve">open daily for drop in serves and enhance opportunities for clients to have immediate access to </w:t>
      </w:r>
      <w:r w:rsidR="00A55868">
        <w:t>case managers, learn from recovering peers</w:t>
      </w:r>
      <w:r>
        <w:t xml:space="preserve"> to help identify their symptoms and </w:t>
      </w:r>
      <w:r w:rsidR="00A55868">
        <w:t xml:space="preserve">with </w:t>
      </w:r>
      <w:proofErr w:type="spellStart"/>
      <w:r w:rsidR="00A55868">
        <w:t>support</w:t>
      </w:r>
      <w:proofErr w:type="gramStart"/>
      <w:r w:rsidR="00A55868">
        <w:t>,</w:t>
      </w:r>
      <w:r>
        <w:t>learn</w:t>
      </w:r>
      <w:proofErr w:type="spellEnd"/>
      <w:proofErr w:type="gramEnd"/>
      <w:r>
        <w:t xml:space="preserve"> skills for communicating their needs at an earlier stage.</w:t>
      </w:r>
    </w:p>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C43A43" w:rsidRP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8370E1" w:rsidRDefault="008370E1" w:rsidP="00C43A43"/>
    <w:p w:rsidR="00C43A43" w:rsidRPr="005E1B03" w:rsidRDefault="008370E1" w:rsidP="008370E1">
      <w:r>
        <w:lastRenderedPageBreak/>
        <w:t xml:space="preserve">Primarily we serve clients in a large geographic rural area. Unemployment and homelessness is a growing challenge in serving Veterans and transitioning young adults, Poverty is a culture that impacts our clients. Some clients have needs for alternatives in the models of treatment based on their ethnic or cultural backgrounds. For example migrant workers, whose primary languages are other than English. Native American clients who have limited mental health services on the Reservation yet have co-occurring diagnosis of substance use and physical chronic illness. Also, many “no shows” are clients who have been recently released from our Detention Facilities and prisons with a long history of incarceration and trauma. They are referred from Probation or Parole </w:t>
      </w:r>
      <w:proofErr w:type="gramStart"/>
      <w:r>
        <w:t>and  do</w:t>
      </w:r>
      <w:proofErr w:type="gramEnd"/>
      <w:r>
        <w:t xml:space="preserve"> not seem to follow through with appointments. This creates a delay in scheduling others</w:t>
      </w:r>
      <w:proofErr w:type="gramStart"/>
      <w:r>
        <w:t>..</w:t>
      </w:r>
      <w:proofErr w:type="gramEnd"/>
      <w:r>
        <w:t xml:space="preserve"> There is a challenge of outreach and engagement and training for staff on seamless delivery systems among substance use, primary care, and mental health </w:t>
      </w:r>
      <w:proofErr w:type="spellStart"/>
      <w:r>
        <w:t>providers.</w:t>
      </w:r>
      <w:r w:rsidR="00D05CD4" w:rsidRPr="005E1B03">
        <w:t>ACCESS</w:t>
      </w:r>
      <w:proofErr w:type="spellEnd"/>
      <w:r w:rsidR="00D05CD4" w:rsidRPr="005E1B03">
        <w:t xml:space="preserve">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w:t>
      </w:r>
      <w:proofErr w:type="spellStart"/>
      <w:r w:rsidRPr="00C43A43">
        <w:t>Medi</w:t>
      </w:r>
      <w:proofErr w:type="spellEnd"/>
      <w:r w:rsidRPr="00C43A43">
        <w:t>-Cal</w:t>
      </w:r>
      <w:r w:rsidR="00C26531">
        <w:t>,</w:t>
      </w:r>
      <w:r w:rsidRPr="00C43A43">
        <w:t xml:space="preserve"> and of those individuals, how many received mental health services.   Are you serving the </w:t>
      </w:r>
      <w:proofErr w:type="spellStart"/>
      <w:r w:rsidRPr="00C43A43">
        <w:t>Medi</w:t>
      </w:r>
      <w:proofErr w:type="spellEnd"/>
      <w:r w:rsidRPr="00C43A43">
        <w:t>-Cal clients who need your services?</w:t>
      </w:r>
    </w:p>
    <w:p w:rsidR="00C26531" w:rsidRDefault="0049382D" w:rsidP="00C43A43">
      <w:proofErr w:type="spellStart"/>
      <w:r>
        <w:rPr>
          <w:b/>
        </w:rPr>
        <w:t>Lassen</w:t>
      </w:r>
      <w:r w:rsidR="00EA7AC2">
        <w:rPr>
          <w:b/>
        </w:rPr>
        <w:t>County</w:t>
      </w:r>
      <w:proofErr w:type="spellEnd"/>
      <w:r w:rsidR="00C26531">
        <w:t>:</w:t>
      </w:r>
    </w:p>
    <w:p w:rsidR="008370E1" w:rsidRPr="00C43A43" w:rsidRDefault="008370E1" w:rsidP="00C43A43">
      <w:r>
        <w:t xml:space="preserve">The data has indicated we are doing well with these individuals. </w:t>
      </w:r>
    </w:p>
    <w:p w:rsidR="00D05CD4" w:rsidRDefault="0049382D" w:rsidP="00C26531">
      <w:pPr>
        <w:pStyle w:val="Header"/>
        <w:tabs>
          <w:tab w:val="clear" w:pos="4680"/>
          <w:tab w:val="clear" w:pos="9360"/>
        </w:tabs>
        <w:spacing w:after="200" w:line="276" w:lineRule="auto"/>
        <w:rPr>
          <w:b/>
        </w:rPr>
      </w:pPr>
      <w:r>
        <w:rPr>
          <w:noProof/>
        </w:rPr>
        <w:lastRenderedPageBreak/>
        <w:drawing>
          <wp:inline distT="0" distB="0" distL="0" distR="0">
            <wp:extent cx="4405957" cy="569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14618" cy="5707147"/>
                    </a:xfrm>
                    <a:prstGeom prst="rect">
                      <a:avLst/>
                    </a:prstGeom>
                  </pic:spPr>
                </pic:pic>
              </a:graphicData>
            </a:graphic>
          </wp:inline>
        </w:drawing>
      </w:r>
    </w:p>
    <w:p w:rsidR="00C43A43" w:rsidRPr="00C43A43" w:rsidRDefault="00C43A43" w:rsidP="00C43A43">
      <w:pPr>
        <w:rPr>
          <w:b/>
        </w:rPr>
      </w:pPr>
      <w:r w:rsidRPr="00C43A43">
        <w:rPr>
          <w:b/>
        </w:rPr>
        <w:t xml:space="preserve">9.  Is there a big difference between the race/ethnicity </w:t>
      </w:r>
      <w:proofErr w:type="gramStart"/>
      <w:r w:rsidRPr="00C43A43">
        <w:rPr>
          <w:b/>
        </w:rPr>
        <w:t>breakdown</w:t>
      </w:r>
      <w:proofErr w:type="gramEnd"/>
      <w:r w:rsidRPr="00C43A43">
        <w:rPr>
          <w:b/>
        </w:rPr>
        <w:t xml:space="preserve"> on the two charts?  Do you feel </w:t>
      </w:r>
      <w:r w:rsidR="00D05CD4">
        <w:rPr>
          <w:b/>
        </w:rPr>
        <w:t xml:space="preserve">that </w:t>
      </w:r>
      <w:r w:rsidRPr="00C43A43">
        <w:rPr>
          <w:b/>
        </w:rPr>
        <w:t xml:space="preserve">the </w:t>
      </w:r>
      <w:proofErr w:type="gramStart"/>
      <w:r w:rsidRPr="00C43A43">
        <w:rPr>
          <w:b/>
        </w:rPr>
        <w:t>group(s)</w:t>
      </w:r>
      <w:proofErr w:type="gramEnd"/>
      <w:r w:rsidRPr="00C43A43">
        <w:rPr>
          <w:b/>
        </w:rPr>
        <w:t xml:space="preserve"> that need services in your county are receiving services?</w:t>
      </w:r>
    </w:p>
    <w:p w:rsidR="008370E1" w:rsidRPr="00C43A43" w:rsidRDefault="008370E1" w:rsidP="008370E1">
      <w:r>
        <w:t xml:space="preserve">We have been concentrating on improving our outreach through regular meetings with </w:t>
      </w:r>
      <w:r w:rsidR="00E13871">
        <w:t xml:space="preserve">leadership and front line staff from </w:t>
      </w:r>
      <w:r>
        <w:t xml:space="preserve">our county social services and public health departments. Our staff is </w:t>
      </w:r>
      <w:r w:rsidR="00E13871">
        <w:t xml:space="preserve">also cross trained and updated with </w:t>
      </w:r>
      <w:proofErr w:type="spellStart"/>
      <w:r w:rsidR="00E13871">
        <w:t>supprot</w:t>
      </w:r>
      <w:proofErr w:type="spellEnd"/>
      <w:r>
        <w:t xml:space="preserve"> for identifying potential clients who qualify for these benefits and we have case managers prepared to assist them with language needs.</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10.  What outreach efforts are being made to reach minority groups in your community?</w:t>
      </w:r>
    </w:p>
    <w:p w:rsidR="00C43A43" w:rsidRPr="00C43A43" w:rsidRDefault="00C43A43" w:rsidP="00C43A43">
      <w:pPr>
        <w:rPr>
          <w:b/>
        </w:rPr>
      </w:pP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11.  Do you have suggestions for improving outreach to and/or programs for underserved groups?</w:t>
      </w:r>
    </w:p>
    <w:p w:rsidR="00C43A43" w:rsidRPr="00C43A43" w:rsidRDefault="00C43A43" w:rsidP="00C43A43"/>
    <w:p w:rsidR="00C43A43" w:rsidRPr="00C43A43" w:rsidRDefault="00C43A43" w:rsidP="00C43A43"/>
    <w:p w:rsidR="00C43A43" w:rsidRPr="00C43A43" w:rsidRDefault="00C43A43" w:rsidP="00C43A43">
      <w:r w:rsidRPr="00C43A43">
        <w:br w:type="page"/>
      </w:r>
    </w:p>
    <w:p w:rsidR="00C43A43" w:rsidRPr="005E1B03" w:rsidRDefault="00C43A43" w:rsidP="005E1B03">
      <w:pPr>
        <w:pStyle w:val="Heading5"/>
      </w:pPr>
      <w:r w:rsidRPr="005E1B03">
        <w:lastRenderedPageBreak/>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 xml:space="preserve">ividuals come in, receive only one or </w:t>
      </w:r>
      <w:proofErr w:type="spellStart"/>
      <w:r w:rsidR="005E1B03">
        <w:t>twoservices</w:t>
      </w:r>
      <w:proofErr w:type="spellEnd"/>
      <w:r w:rsidR="005E1B03">
        <w:t xml:space="preserve">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Pr="00C43A43" w:rsidRDefault="00C43A43" w:rsidP="00C43A43">
      <w:r w:rsidRPr="00C43A43">
        <w:t xml:space="preserve">The chart below shows the number of </w:t>
      </w:r>
      <w:proofErr w:type="spellStart"/>
      <w:r w:rsidRPr="00C43A43">
        <w:t>Medi</w:t>
      </w:r>
      <w:proofErr w:type="spellEnd"/>
      <w:r w:rsidRPr="00C43A43">
        <w:t>-Cal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C26531" w:rsidRDefault="00C26531" w:rsidP="00C43A43"/>
    <w:p w:rsidR="002B16D8" w:rsidRPr="00C43A43" w:rsidRDefault="0093482E" w:rsidP="00C43A43">
      <w:r>
        <w:rPr>
          <w:noProof/>
        </w:rPr>
        <w:drawing>
          <wp:inline distT="0" distB="0" distL="0" distR="0">
            <wp:extent cx="5943600"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067050"/>
                    </a:xfrm>
                    <a:prstGeom prst="rect">
                      <a:avLst/>
                    </a:prstGeom>
                  </pic:spPr>
                </pic:pic>
              </a:graphicData>
            </a:graphic>
          </wp:inline>
        </w:drawing>
      </w:r>
    </w:p>
    <w:p w:rsidR="00CD4B6A" w:rsidRDefault="00CD4B6A">
      <w:r>
        <w:br w:type="page"/>
      </w:r>
    </w:p>
    <w:p w:rsidR="00C43A43" w:rsidRPr="00C43A43" w:rsidRDefault="00C43A43" w:rsidP="00C43A43">
      <w:pPr>
        <w:rPr>
          <w:b/>
        </w:rPr>
      </w:pPr>
      <w:r w:rsidRPr="00C43A43">
        <w:rPr>
          <w:b/>
        </w:rPr>
        <w:lastRenderedPageBreak/>
        <w:t xml:space="preserve">12.  Do you think your county is doing a good job at keeping clients engaged in services?  </w:t>
      </w:r>
      <w:proofErr w:type="gramStart"/>
      <w:r w:rsidRPr="00C43A43">
        <w:rPr>
          <w:b/>
        </w:rPr>
        <w:t>If yes, how?</w:t>
      </w:r>
      <w:proofErr w:type="gramEnd"/>
      <w:r w:rsidRPr="00C43A43">
        <w:rPr>
          <w:b/>
        </w:rPr>
        <w:t xml:space="preserve">  If not, why?</w:t>
      </w:r>
    </w:p>
    <w:p w:rsidR="00C43A43" w:rsidRPr="00C43A43" w:rsidRDefault="008370E1" w:rsidP="00C43A43">
      <w:r>
        <w:t xml:space="preserve">I think we are doing fairly well, but our demographics </w:t>
      </w:r>
      <w:proofErr w:type="gramStart"/>
      <w:r>
        <w:t>has</w:t>
      </w:r>
      <w:proofErr w:type="gramEnd"/>
      <w:r>
        <w:t xml:space="preserve"> changed over the past few years with more identified minorities needing services in the outlying areas of the county. Our professional and financial commitment to keeping services at the “one stop” Resource Centers located in these areas seems to be helping us to reach more of the underserved populations</w:t>
      </w:r>
    </w:p>
    <w:p w:rsidR="00C43A43" w:rsidRDefault="008370E1" w:rsidP="00C43A43">
      <w:pPr>
        <w:rPr>
          <w:b/>
        </w:rPr>
      </w:pPr>
      <w:r>
        <w:rPr>
          <w:b/>
        </w:rPr>
        <w:t xml:space="preserve">13. </w:t>
      </w:r>
      <w:r w:rsidR="00C43A43" w:rsidRPr="00C43A43">
        <w:rPr>
          <w:b/>
        </w:rPr>
        <w:t>For those clients receiving less than 5 services, what is your county doing to follow-up and re-engage those individuals for further mental health services?</w:t>
      </w:r>
    </w:p>
    <w:p w:rsidR="00C43A43" w:rsidRPr="00C43A43" w:rsidRDefault="008370E1" w:rsidP="00C43A43">
      <w:r>
        <w:t>The Quality Improvement committee is tasked with identifying the issues associated with a lack of follow up or when a client seems to disengage. Current focus on improving client care through welcoming and immediate access seems to be one answer to strengthening our presence in the community. Working with evidence based Prevention and Early Intervention materials, and training our staff to work within interdisciplinary teams, and establishing community partnerships provides new perspectives on client and community engagement.</w:t>
      </w:r>
    </w:p>
    <w:p w:rsid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8370E1" w:rsidRPr="008370E1" w:rsidRDefault="00DC0FFF" w:rsidP="00C43A43">
      <w:r>
        <w:t>Recently w</w:t>
      </w:r>
      <w:r w:rsidR="008370E1">
        <w:t xml:space="preserve">e chose to target a public school population (parents and students as well as faculty) where we identified </w:t>
      </w:r>
      <w:r>
        <w:t>underserved populations with needs for</w:t>
      </w:r>
      <w:r w:rsidR="008370E1">
        <w:t xml:space="preserve">, language and cultural differences </w:t>
      </w:r>
      <w:proofErr w:type="gramStart"/>
      <w:r w:rsidR="008370E1">
        <w:t>and  isolation</w:t>
      </w:r>
      <w:proofErr w:type="gramEnd"/>
      <w:r w:rsidR="008370E1">
        <w:t xml:space="preserve"> due to rural location. We are presenting evidence based early intervention through life skills training for students and parents </w:t>
      </w:r>
      <w:r w:rsidR="0030340F">
        <w:t xml:space="preserve">in Spanish by a trained facilitator, case manager and prevention specialist. We are </w:t>
      </w:r>
      <w:r w:rsidR="008370E1">
        <w:t xml:space="preserve">engaging this learning community while helping them to be comfortable accessing </w:t>
      </w:r>
      <w:r w:rsidR="0030340F">
        <w:t xml:space="preserve">more </w:t>
      </w:r>
      <w:r w:rsidR="008370E1">
        <w:t xml:space="preserve">services that are available for their families. </w:t>
      </w:r>
      <w:r w:rsidR="0030340F">
        <w:t>Empowering these identified small populations with skills, will assist us reaching out the larger community of underserved populations and developing relationships in their safe environments like schools seems to make sense</w:t>
      </w:r>
    </w:p>
    <w:p w:rsidR="00C43A43" w:rsidRPr="00C43A43" w:rsidRDefault="00C43A43" w:rsidP="00C43A43">
      <w:r w:rsidRPr="00C43A43">
        <w:br w:type="page"/>
      </w:r>
    </w:p>
    <w:p w:rsidR="00C43A43" w:rsidRPr="00601364" w:rsidRDefault="00601364" w:rsidP="00C43A43">
      <w:pPr>
        <w:rPr>
          <w:sz w:val="28"/>
          <w:szCs w:val="28"/>
        </w:rPr>
      </w:pPr>
      <w:r w:rsidRPr="00601364">
        <w:rPr>
          <w:sz w:val="28"/>
          <w:szCs w:val="28"/>
        </w:rPr>
        <w:lastRenderedPageBreak/>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w:t>
      </w:r>
      <w:proofErr w:type="gramStart"/>
      <w:r w:rsidR="00C43A43" w:rsidRPr="00601364">
        <w:rPr>
          <w:sz w:val="28"/>
          <w:szCs w:val="28"/>
        </w:rPr>
        <w:t>S</w:t>
      </w:r>
      <w:r w:rsidRPr="00601364">
        <w:rPr>
          <w:sz w:val="28"/>
          <w:szCs w:val="28"/>
        </w:rPr>
        <w:t>urvey</w:t>
      </w:r>
      <w:r w:rsidR="00C43A43" w:rsidRPr="00601364">
        <w:rPr>
          <w:sz w:val="28"/>
          <w:szCs w:val="28"/>
        </w:rPr>
        <w:t>(</w:t>
      </w:r>
      <w:proofErr w:type="gramEnd"/>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3D54CB" w:rsidRDefault="0019718E" w:rsidP="003D54CB">
      <w:r>
        <w:t>Below are the data for</w:t>
      </w:r>
      <w:r w:rsidR="00C43A43" w:rsidRPr="00C43A43">
        <w:t xml:space="preserve"> responses by clients in your county to these two questions.  </w:t>
      </w:r>
    </w:p>
    <w:p w:rsidR="0019718E" w:rsidRDefault="0019718E" w:rsidP="003D54CB">
      <w:r>
        <w:t>For general comparison, statewide reference information and data for various sized counties are shown in the tables on page 19.</w:t>
      </w:r>
    </w:p>
    <w:p w:rsidR="00C43A43" w:rsidRDefault="003D54CB"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19718E" w:rsidRPr="00C43A43" w:rsidRDefault="0019718E" w:rsidP="00C43A43"/>
    <w:p w:rsidR="00C43A43" w:rsidRPr="00C43A43" w:rsidRDefault="00C43A43" w:rsidP="00892086">
      <w:pPr>
        <w:ind w:firstLine="720"/>
      </w:pPr>
      <w:r w:rsidRPr="00C43A43">
        <w:t xml:space="preserve">Q1. </w:t>
      </w:r>
      <w:proofErr w:type="gramStart"/>
      <w:r w:rsidRPr="00C43A43">
        <w:t>Adults.</w:t>
      </w:r>
      <w:proofErr w:type="gramEnd"/>
      <w:r w:rsidRPr="00C43A43">
        <w:t xml:space="preserve">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3D54CB" w:rsidTr="00452F74">
        <w:tc>
          <w:tcPr>
            <w:tcW w:w="1368" w:type="dxa"/>
          </w:tcPr>
          <w:p w:rsidR="003D54CB" w:rsidRDefault="003D54CB" w:rsidP="00452F74"/>
        </w:tc>
        <w:tc>
          <w:tcPr>
            <w:tcW w:w="1368" w:type="dxa"/>
          </w:tcPr>
          <w:p w:rsidR="003D54CB" w:rsidRDefault="003D54CB" w:rsidP="00452F74">
            <w:r>
              <w:t xml:space="preserve">Strongly Disagree      </w:t>
            </w:r>
          </w:p>
        </w:tc>
        <w:tc>
          <w:tcPr>
            <w:tcW w:w="1368" w:type="dxa"/>
          </w:tcPr>
          <w:p w:rsidR="003D54CB" w:rsidRDefault="003D54CB" w:rsidP="00452F74">
            <w:r>
              <w:t>Disagree</w:t>
            </w:r>
          </w:p>
        </w:tc>
        <w:tc>
          <w:tcPr>
            <w:tcW w:w="1368" w:type="dxa"/>
          </w:tcPr>
          <w:p w:rsidR="003D54CB" w:rsidRDefault="003D54CB" w:rsidP="00452F74">
            <w:r>
              <w:t>Neutral</w:t>
            </w:r>
          </w:p>
        </w:tc>
        <w:tc>
          <w:tcPr>
            <w:tcW w:w="1368" w:type="dxa"/>
          </w:tcPr>
          <w:p w:rsidR="003D54CB" w:rsidRDefault="003D54CB" w:rsidP="00452F74">
            <w:r>
              <w:t>Agree</w:t>
            </w:r>
          </w:p>
        </w:tc>
        <w:tc>
          <w:tcPr>
            <w:tcW w:w="1368" w:type="dxa"/>
          </w:tcPr>
          <w:p w:rsidR="003D54CB" w:rsidRDefault="003D54CB" w:rsidP="00452F74">
            <w:r>
              <w:t>Strongly A</w:t>
            </w:r>
            <w:r w:rsidRPr="00C43A43">
              <w:t>gre</w:t>
            </w:r>
            <w:r>
              <w:t>e</w:t>
            </w:r>
          </w:p>
        </w:tc>
        <w:tc>
          <w:tcPr>
            <w:tcW w:w="1368" w:type="dxa"/>
          </w:tcPr>
          <w:p w:rsidR="003D54CB" w:rsidRPr="00AA7646" w:rsidRDefault="003D54CB" w:rsidP="00452F74">
            <w:pPr>
              <w:pStyle w:val="Heading1"/>
              <w:outlineLvl w:val="0"/>
            </w:pPr>
            <w:r w:rsidRPr="00AA7646">
              <w:t>Total</w:t>
            </w:r>
          </w:p>
        </w:tc>
      </w:tr>
      <w:tr w:rsidR="003D54CB" w:rsidTr="00452F74">
        <w:tc>
          <w:tcPr>
            <w:tcW w:w="1368" w:type="dxa"/>
          </w:tcPr>
          <w:p w:rsidR="003D54CB" w:rsidRDefault="003D54CB" w:rsidP="00452F74">
            <w:r>
              <w:t>Number of Responses</w:t>
            </w:r>
          </w:p>
        </w:tc>
        <w:tc>
          <w:tcPr>
            <w:tcW w:w="1368" w:type="dxa"/>
          </w:tcPr>
          <w:p w:rsidR="003D54CB" w:rsidRDefault="003D54CB" w:rsidP="00452F74">
            <w:r>
              <w:t>3</w:t>
            </w:r>
          </w:p>
        </w:tc>
        <w:tc>
          <w:tcPr>
            <w:tcW w:w="1368" w:type="dxa"/>
          </w:tcPr>
          <w:p w:rsidR="003D54CB" w:rsidRDefault="003D54CB" w:rsidP="00452F74">
            <w:r>
              <w:t>0</w:t>
            </w:r>
          </w:p>
        </w:tc>
        <w:tc>
          <w:tcPr>
            <w:tcW w:w="1368" w:type="dxa"/>
          </w:tcPr>
          <w:p w:rsidR="003D54CB" w:rsidRDefault="003D54CB" w:rsidP="00452F74">
            <w:r>
              <w:t>14</w:t>
            </w:r>
          </w:p>
        </w:tc>
        <w:tc>
          <w:tcPr>
            <w:tcW w:w="1368" w:type="dxa"/>
          </w:tcPr>
          <w:p w:rsidR="003D54CB" w:rsidRDefault="003D54CB" w:rsidP="00452F74">
            <w:r>
              <w:t>9</w:t>
            </w:r>
          </w:p>
        </w:tc>
        <w:tc>
          <w:tcPr>
            <w:tcW w:w="1368" w:type="dxa"/>
          </w:tcPr>
          <w:p w:rsidR="003D54CB" w:rsidRDefault="003D54CB" w:rsidP="00452F74">
            <w:r>
              <w:t>7</w:t>
            </w:r>
          </w:p>
        </w:tc>
        <w:tc>
          <w:tcPr>
            <w:tcW w:w="1368" w:type="dxa"/>
          </w:tcPr>
          <w:p w:rsidR="003D54CB" w:rsidRDefault="003D54CB" w:rsidP="00452F74">
            <w:r>
              <w:t>33</w:t>
            </w:r>
          </w:p>
        </w:tc>
      </w:tr>
      <w:tr w:rsidR="003D54CB" w:rsidTr="00452F74">
        <w:tc>
          <w:tcPr>
            <w:tcW w:w="1368" w:type="dxa"/>
          </w:tcPr>
          <w:p w:rsidR="003D54CB" w:rsidRDefault="003D54CB" w:rsidP="00452F74">
            <w:r>
              <w:t>Percent of Responses</w:t>
            </w:r>
          </w:p>
        </w:tc>
        <w:tc>
          <w:tcPr>
            <w:tcW w:w="1368" w:type="dxa"/>
          </w:tcPr>
          <w:p w:rsidR="003D54CB" w:rsidRDefault="003D54CB" w:rsidP="00452F74">
            <w:r>
              <w:t>9.1 %</w:t>
            </w:r>
          </w:p>
        </w:tc>
        <w:tc>
          <w:tcPr>
            <w:tcW w:w="1368" w:type="dxa"/>
          </w:tcPr>
          <w:p w:rsidR="003D54CB" w:rsidRDefault="003D54CB" w:rsidP="00452F74">
            <w:r>
              <w:t>0 %</w:t>
            </w:r>
          </w:p>
        </w:tc>
        <w:tc>
          <w:tcPr>
            <w:tcW w:w="1368" w:type="dxa"/>
          </w:tcPr>
          <w:p w:rsidR="003D54CB" w:rsidRDefault="003D54CB" w:rsidP="00452F74">
            <w:r>
              <w:t>42.4 %</w:t>
            </w:r>
          </w:p>
        </w:tc>
        <w:tc>
          <w:tcPr>
            <w:tcW w:w="1368" w:type="dxa"/>
          </w:tcPr>
          <w:p w:rsidR="003D54CB" w:rsidRDefault="003D54CB" w:rsidP="00452F74">
            <w:r>
              <w:t>27.3 %</w:t>
            </w:r>
          </w:p>
        </w:tc>
        <w:tc>
          <w:tcPr>
            <w:tcW w:w="1368" w:type="dxa"/>
          </w:tcPr>
          <w:p w:rsidR="003D54CB" w:rsidRDefault="003D54CB" w:rsidP="00452F74">
            <w:r>
              <w:t>21.2 %</w:t>
            </w:r>
          </w:p>
        </w:tc>
        <w:tc>
          <w:tcPr>
            <w:tcW w:w="1368" w:type="dxa"/>
          </w:tcPr>
          <w:p w:rsidR="003D54CB" w:rsidRDefault="003D54CB" w:rsidP="00452F74">
            <w:r>
              <w:t>100.0 %</w:t>
            </w:r>
          </w:p>
        </w:tc>
      </w:tr>
    </w:tbl>
    <w:p w:rsidR="00892086" w:rsidRDefault="00892086" w:rsidP="00C43A43"/>
    <w:p w:rsidR="00892086" w:rsidRPr="00C43A43" w:rsidRDefault="00892086" w:rsidP="00C43A43"/>
    <w:p w:rsidR="00C43A43" w:rsidRPr="00C43A43" w:rsidRDefault="00C43A43" w:rsidP="00C43A43">
      <w:pPr>
        <w:pStyle w:val="ListParagraph"/>
      </w:pPr>
      <w:r w:rsidRPr="00C43A43">
        <w:t xml:space="preserve">Q2. </w:t>
      </w:r>
      <w:proofErr w:type="gramStart"/>
      <w:r w:rsidRPr="00C43A43">
        <w:t>Children/Youth.</w:t>
      </w:r>
      <w:proofErr w:type="gramEnd"/>
      <w:r w:rsidRPr="00C43A43">
        <w:t xml:space="preserve">  As a result of services my child and/or family received, my child is better at handling daily life.</w:t>
      </w:r>
    </w:p>
    <w:p w:rsid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3D54CB" w:rsidTr="00452F74">
        <w:tc>
          <w:tcPr>
            <w:tcW w:w="1368" w:type="dxa"/>
          </w:tcPr>
          <w:p w:rsidR="003D54CB" w:rsidRDefault="003D54CB" w:rsidP="00452F74"/>
        </w:tc>
        <w:tc>
          <w:tcPr>
            <w:tcW w:w="1368" w:type="dxa"/>
          </w:tcPr>
          <w:p w:rsidR="003D54CB" w:rsidRDefault="003D54CB" w:rsidP="00452F74">
            <w:r>
              <w:t xml:space="preserve">Strongly Disagree      </w:t>
            </w:r>
          </w:p>
        </w:tc>
        <w:tc>
          <w:tcPr>
            <w:tcW w:w="1368" w:type="dxa"/>
          </w:tcPr>
          <w:p w:rsidR="003D54CB" w:rsidRDefault="003D54CB" w:rsidP="00452F74">
            <w:r>
              <w:t>Disagree</w:t>
            </w:r>
          </w:p>
        </w:tc>
        <w:tc>
          <w:tcPr>
            <w:tcW w:w="1368" w:type="dxa"/>
          </w:tcPr>
          <w:p w:rsidR="003D54CB" w:rsidRDefault="003D54CB" w:rsidP="00452F74">
            <w:r>
              <w:t>Neutral</w:t>
            </w:r>
          </w:p>
        </w:tc>
        <w:tc>
          <w:tcPr>
            <w:tcW w:w="1368" w:type="dxa"/>
          </w:tcPr>
          <w:p w:rsidR="003D54CB" w:rsidRDefault="003D54CB" w:rsidP="00452F74">
            <w:r>
              <w:t>Agree</w:t>
            </w:r>
          </w:p>
        </w:tc>
        <w:tc>
          <w:tcPr>
            <w:tcW w:w="1368" w:type="dxa"/>
          </w:tcPr>
          <w:p w:rsidR="003D54CB" w:rsidRDefault="003D54CB" w:rsidP="00452F74">
            <w:r>
              <w:t>Strongly A</w:t>
            </w:r>
            <w:r w:rsidRPr="00C43A43">
              <w:t>gre</w:t>
            </w:r>
            <w:r>
              <w:t>e</w:t>
            </w:r>
          </w:p>
        </w:tc>
        <w:tc>
          <w:tcPr>
            <w:tcW w:w="1368" w:type="dxa"/>
          </w:tcPr>
          <w:p w:rsidR="003D54CB" w:rsidRPr="00AA7646" w:rsidRDefault="003D54CB" w:rsidP="00452F74">
            <w:pPr>
              <w:pStyle w:val="Heading1"/>
              <w:outlineLvl w:val="0"/>
            </w:pPr>
            <w:r w:rsidRPr="00AA7646">
              <w:t>Total</w:t>
            </w:r>
          </w:p>
        </w:tc>
      </w:tr>
      <w:tr w:rsidR="003D54CB" w:rsidTr="00452F74">
        <w:tc>
          <w:tcPr>
            <w:tcW w:w="1368" w:type="dxa"/>
          </w:tcPr>
          <w:p w:rsidR="003D54CB" w:rsidRDefault="003D54CB" w:rsidP="00452F74">
            <w:r>
              <w:t>Number of Responses</w:t>
            </w:r>
          </w:p>
        </w:tc>
        <w:tc>
          <w:tcPr>
            <w:tcW w:w="1368" w:type="dxa"/>
          </w:tcPr>
          <w:p w:rsidR="003D54CB" w:rsidRDefault="003D54CB" w:rsidP="00452F74">
            <w:r>
              <w:t>0</w:t>
            </w:r>
          </w:p>
        </w:tc>
        <w:tc>
          <w:tcPr>
            <w:tcW w:w="1368" w:type="dxa"/>
          </w:tcPr>
          <w:p w:rsidR="003D54CB" w:rsidRDefault="003D54CB" w:rsidP="00452F74">
            <w:r>
              <w:t>0</w:t>
            </w:r>
          </w:p>
        </w:tc>
        <w:tc>
          <w:tcPr>
            <w:tcW w:w="1368" w:type="dxa"/>
          </w:tcPr>
          <w:p w:rsidR="003D54CB" w:rsidRDefault="003D54CB" w:rsidP="00452F74">
            <w:r>
              <w:t>4</w:t>
            </w:r>
          </w:p>
        </w:tc>
        <w:tc>
          <w:tcPr>
            <w:tcW w:w="1368" w:type="dxa"/>
          </w:tcPr>
          <w:p w:rsidR="003D54CB" w:rsidRDefault="003D54CB" w:rsidP="00452F74">
            <w:r>
              <w:t>4</w:t>
            </w:r>
          </w:p>
        </w:tc>
        <w:tc>
          <w:tcPr>
            <w:tcW w:w="1368" w:type="dxa"/>
          </w:tcPr>
          <w:p w:rsidR="003D54CB" w:rsidRDefault="003D54CB" w:rsidP="00452F74">
            <w:r>
              <w:t>2</w:t>
            </w:r>
          </w:p>
        </w:tc>
        <w:tc>
          <w:tcPr>
            <w:tcW w:w="1368" w:type="dxa"/>
          </w:tcPr>
          <w:p w:rsidR="003D54CB" w:rsidRDefault="003D54CB" w:rsidP="00452F74">
            <w:r>
              <w:t>10</w:t>
            </w:r>
          </w:p>
        </w:tc>
      </w:tr>
      <w:tr w:rsidR="003D54CB" w:rsidTr="00452F74">
        <w:tc>
          <w:tcPr>
            <w:tcW w:w="1368" w:type="dxa"/>
          </w:tcPr>
          <w:p w:rsidR="003D54CB" w:rsidRDefault="003D54CB" w:rsidP="00452F74">
            <w:r>
              <w:t>Percent of Responses</w:t>
            </w:r>
          </w:p>
        </w:tc>
        <w:tc>
          <w:tcPr>
            <w:tcW w:w="1368" w:type="dxa"/>
          </w:tcPr>
          <w:p w:rsidR="003D54CB" w:rsidRDefault="003D54CB" w:rsidP="00452F74">
            <w:r>
              <w:t>0 %</w:t>
            </w:r>
          </w:p>
        </w:tc>
        <w:tc>
          <w:tcPr>
            <w:tcW w:w="1368" w:type="dxa"/>
          </w:tcPr>
          <w:p w:rsidR="003D54CB" w:rsidRDefault="003D54CB" w:rsidP="00452F74">
            <w:r>
              <w:t>0 %</w:t>
            </w:r>
          </w:p>
        </w:tc>
        <w:tc>
          <w:tcPr>
            <w:tcW w:w="1368" w:type="dxa"/>
          </w:tcPr>
          <w:p w:rsidR="003D54CB" w:rsidRDefault="003D54CB" w:rsidP="00452F74">
            <w:r>
              <w:t>40.0 %</w:t>
            </w:r>
          </w:p>
        </w:tc>
        <w:tc>
          <w:tcPr>
            <w:tcW w:w="1368" w:type="dxa"/>
          </w:tcPr>
          <w:p w:rsidR="003D54CB" w:rsidRDefault="003D54CB" w:rsidP="00452F74">
            <w:r>
              <w:t>40.0 %</w:t>
            </w:r>
          </w:p>
        </w:tc>
        <w:tc>
          <w:tcPr>
            <w:tcW w:w="1368" w:type="dxa"/>
          </w:tcPr>
          <w:p w:rsidR="003D54CB" w:rsidRDefault="003D54CB" w:rsidP="00452F74">
            <w:r>
              <w:t>20.0 %</w:t>
            </w:r>
          </w:p>
        </w:tc>
        <w:tc>
          <w:tcPr>
            <w:tcW w:w="1368" w:type="dxa"/>
          </w:tcPr>
          <w:p w:rsidR="003D54CB" w:rsidRDefault="003D54CB" w:rsidP="00452F74">
            <w:r>
              <w:t>100.0 %</w:t>
            </w:r>
          </w:p>
        </w:tc>
      </w:tr>
    </w:tbl>
    <w:p w:rsidR="003D54CB" w:rsidRPr="00C43A43" w:rsidRDefault="003D54CB" w:rsidP="00C43A43">
      <w:pPr>
        <w:pStyle w:val="ListParagraph"/>
      </w:pPr>
    </w:p>
    <w:p w:rsidR="00892086" w:rsidRPr="00C43A43" w:rsidRDefault="00892086" w:rsidP="00C43A43"/>
    <w:p w:rsidR="00C43A43" w:rsidRPr="00C43A43" w:rsidRDefault="00C43A43" w:rsidP="00C43A43"/>
    <w:p w:rsidR="00892086" w:rsidRDefault="00892086">
      <w:pPr>
        <w:rPr>
          <w:b/>
        </w:rPr>
      </w:pPr>
      <w:r>
        <w:rPr>
          <w:b/>
        </w:rPr>
        <w:br w:type="page"/>
      </w:r>
    </w:p>
    <w:p w:rsidR="00C43A43" w:rsidRDefault="0004591D" w:rsidP="00C43A43">
      <w:pPr>
        <w:rPr>
          <w:b/>
        </w:rPr>
      </w:pPr>
      <w:r>
        <w:rPr>
          <w:b/>
        </w:rPr>
        <w:lastRenderedPageBreak/>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C43A43" w:rsidRPr="00C43A43" w:rsidRDefault="008370E1" w:rsidP="00C43A43">
      <w:r>
        <w:t xml:space="preserve">Somewhat consistent however improvement </w:t>
      </w:r>
      <w:r w:rsidR="00DC0FFF">
        <w:t xml:space="preserve">is </w:t>
      </w:r>
      <w:r>
        <w:t>needed in overall number of responses.</w:t>
      </w:r>
    </w:p>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2A39D1" w:rsidRPr="00C43A43" w:rsidRDefault="008370E1" w:rsidP="00C43A43">
      <w:proofErr w:type="gramStart"/>
      <w:r>
        <w:t>More consumer involvement in all areas of program design.</w:t>
      </w:r>
      <w:proofErr w:type="gramEnd"/>
      <w:r>
        <w:t xml:space="preserve"> More opportunities for input and provide routine satisfaction surveys, at the end of sessions or appointment experiences to measure our improvement.</w:t>
      </w:r>
    </w:p>
    <w:p w:rsid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C43A43" w:rsidRDefault="008370E1" w:rsidP="00C43A43">
      <w:r>
        <w:t xml:space="preserve">Generate energy and excitement </w:t>
      </w:r>
      <w:r w:rsidR="005D36E7">
        <w:t xml:space="preserve">for participation </w:t>
      </w:r>
      <w:r>
        <w:t xml:space="preserve">before a survey period. </w:t>
      </w:r>
      <w:r w:rsidR="005D36E7">
        <w:t>We should r</w:t>
      </w:r>
      <w:r>
        <w:t xml:space="preserve">eport the </w:t>
      </w:r>
      <w:r w:rsidR="005D36E7">
        <w:t>findings and possible changes that result from their participation in</w:t>
      </w:r>
      <w:r>
        <w:t xml:space="preserve"> the surveys </w:t>
      </w:r>
      <w:r w:rsidR="005D36E7">
        <w:t xml:space="preserve">like newsletter articles. We should also create a display for </w:t>
      </w:r>
      <w:r>
        <w:t xml:space="preserve">improvement plans that were developed as a result of their input. </w:t>
      </w:r>
      <w:r w:rsidR="005D36E7">
        <w:t xml:space="preserve"> </w:t>
      </w:r>
      <w:r>
        <w:t>Clients need to feel what they say made a difference or the complacency grows</w:t>
      </w:r>
    </w:p>
    <w:p w:rsidR="002A39D1" w:rsidRPr="00C43A43" w:rsidRDefault="002A39D1" w:rsidP="00C43A43"/>
    <w:p w:rsidR="00C43A43" w:rsidRPr="00C43A43" w:rsidRDefault="00C43A43" w:rsidP="00C43A43">
      <w:pPr>
        <w:rPr>
          <w:b/>
        </w:rPr>
      </w:pPr>
      <w:r w:rsidRPr="00C43A43">
        <w:rPr>
          <w:b/>
        </w:rPr>
        <w:t xml:space="preserve">18.  Lastly, </w:t>
      </w:r>
      <w:r w:rsidR="0004591D">
        <w:rPr>
          <w:b/>
        </w:rPr>
        <w:t xml:space="preserve">but perhaps most important </w:t>
      </w:r>
      <w:r w:rsidRPr="00C43A43">
        <w:rPr>
          <w:b/>
        </w:rPr>
        <w:t>overall, with respect to delivery of services, do you have suggestions regarding any of the following:</w:t>
      </w:r>
    </w:p>
    <w:p w:rsidR="00C43A43" w:rsidRPr="00C43A43" w:rsidRDefault="00C43A43" w:rsidP="00C43A43">
      <w:pPr>
        <w:rPr>
          <w:b/>
        </w:rPr>
      </w:pPr>
    </w:p>
    <w:p w:rsidR="00C43A43" w:rsidRP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C43A43" w:rsidRPr="00C43A43" w:rsidRDefault="00C43A43" w:rsidP="00C43A43">
      <w:pPr>
        <w:rPr>
          <w:b/>
        </w:rPr>
      </w:pPr>
    </w:p>
    <w:p w:rsidR="00AA4414" w:rsidRDefault="007F5D03" w:rsidP="00CF42BE">
      <w:pPr>
        <w:pStyle w:val="ListParagraph"/>
        <w:numPr>
          <w:ilvl w:val="0"/>
          <w:numId w:val="32"/>
        </w:numPr>
      </w:pPr>
      <w:r>
        <w:t xml:space="preserve">We are experiencing challenges in this period of accepting and learning to utilize the new data collection capabilities of our Electronic Health Records. Frustration is running high as </w:t>
      </w:r>
      <w:r w:rsidR="00CF42BE">
        <w:t xml:space="preserve">staff attempts to learn and use these new systems. </w:t>
      </w:r>
      <w:r>
        <w:t xml:space="preserve">There are some gaps that are not easily identified because the system and software design is a moving target, with new regulations and criteria being added.  Newer data reports are </w:t>
      </w:r>
      <w:r w:rsidR="00CF42BE">
        <w:t xml:space="preserve">often </w:t>
      </w:r>
      <w:r>
        <w:t>not complete or sometimes lack accurate or applicable information. The system will improve as more agencies in California are involved in the software development of c</w:t>
      </w:r>
      <w:r w:rsidR="00AA4414">
        <w:t xml:space="preserve">ohesive, integrated and responsive Electronic Health Records. </w:t>
      </w:r>
      <w:r w:rsidR="0053092F">
        <w:t>A need for precious s</w:t>
      </w:r>
      <w:r w:rsidR="00AA4414">
        <w:t>taff time</w:t>
      </w:r>
      <w:r>
        <w:t xml:space="preserve"> for</w:t>
      </w:r>
      <w:r w:rsidR="00AA4414">
        <w:t xml:space="preserve"> training</w:t>
      </w:r>
      <w:r>
        <w:t xml:space="preserve"> on</w:t>
      </w:r>
      <w:r w:rsidR="0053092F">
        <w:t xml:space="preserve"> systems, and the necessary communication skills </w:t>
      </w:r>
      <w:proofErr w:type="gramStart"/>
      <w:r w:rsidR="0053092F">
        <w:t>to  helping</w:t>
      </w:r>
      <w:proofErr w:type="gramEnd"/>
      <w:r w:rsidR="0053092F">
        <w:t xml:space="preserve"> clients</w:t>
      </w:r>
      <w:r>
        <w:t xml:space="preserve"> </w:t>
      </w:r>
      <w:r w:rsidR="0053092F">
        <w:t xml:space="preserve">understand the </w:t>
      </w:r>
      <w:r w:rsidR="00AA4414">
        <w:t xml:space="preserve">clinical </w:t>
      </w:r>
      <w:r>
        <w:lastRenderedPageBreak/>
        <w:t>usefulness</w:t>
      </w:r>
      <w:r w:rsidR="0053092F">
        <w:t xml:space="preserve"> of technology that will keep them in charge of their health including  shared systems with</w:t>
      </w:r>
      <w:r>
        <w:t xml:space="preserve"> their </w:t>
      </w:r>
      <w:r w:rsidR="0053092F">
        <w:t xml:space="preserve">primary care </w:t>
      </w:r>
      <w:r>
        <w:t>providers.</w:t>
      </w:r>
    </w:p>
    <w:p w:rsidR="008370E1" w:rsidRDefault="00BE0E84" w:rsidP="00CF42BE">
      <w:pPr>
        <w:pStyle w:val="ListParagraph"/>
        <w:numPr>
          <w:ilvl w:val="0"/>
          <w:numId w:val="32"/>
        </w:numPr>
      </w:pPr>
      <w:r>
        <w:t xml:space="preserve">Workforce development is a need. </w:t>
      </w:r>
      <w:r w:rsidR="008370E1">
        <w:t>Rural communities</w:t>
      </w:r>
      <w:r>
        <w:t xml:space="preserve"> like Lassen County often</w:t>
      </w:r>
      <w:r w:rsidR="008370E1">
        <w:t xml:space="preserve"> experience </w:t>
      </w:r>
      <w:r>
        <w:t xml:space="preserve">access issues due to </w:t>
      </w:r>
      <w:r w:rsidR="008370E1">
        <w:t>a lack of qualified</w:t>
      </w:r>
      <w:r>
        <w:t xml:space="preserve"> professional staff, including RNs, clinical psychologists,</w:t>
      </w:r>
      <w:r w:rsidR="008370E1">
        <w:t xml:space="preserve"> and </w:t>
      </w:r>
      <w:r>
        <w:t>board certified p</w:t>
      </w:r>
      <w:r w:rsidR="008370E1">
        <w:t>sychiatrists.  We have had a difficult time attracting qualified professionals to our area</w:t>
      </w:r>
      <w:r w:rsidR="00AA4414">
        <w:t xml:space="preserve"> due to employment opportunities for spouses or family members. As a result we have recently decided to dedicate time and money towards measuring the effectiveness and the technical </w:t>
      </w:r>
      <w:r w:rsidR="008370E1">
        <w:t xml:space="preserve">challenges of providing tele-psychiatry. In order for this type of service to be successful we must have our staff fully engaged with our clients at every visit or phone call. Interactions with caring volunteers, staff and peers will be essential for the new “tele medicine” </w:t>
      </w:r>
      <w:r>
        <w:t xml:space="preserve">era. Insurance and parity issues for serving our clients Training is needed for accountability </w:t>
      </w:r>
      <w:proofErr w:type="gramStart"/>
      <w:r>
        <w:t>and  helping</w:t>
      </w:r>
      <w:proofErr w:type="gramEnd"/>
      <w:r>
        <w:t xml:space="preserve"> them to understand changes in modalities are</w:t>
      </w:r>
      <w:r w:rsidR="008370E1">
        <w:t xml:space="preserve"> needed for complex co-occurring diagno</w:t>
      </w:r>
      <w:r>
        <w:t>sis and treatment effectiveness as well as meeting the managed care payment systems.</w:t>
      </w:r>
    </w:p>
    <w:p w:rsidR="00E13871" w:rsidRDefault="008370E1" w:rsidP="00CF42BE">
      <w:pPr>
        <w:pStyle w:val="ListParagraph"/>
        <w:numPr>
          <w:ilvl w:val="0"/>
          <w:numId w:val="32"/>
        </w:numPr>
      </w:pPr>
      <w:r>
        <w:t xml:space="preserve">Over the past 2 years we faced the challenges of integrating our substance use disorders services and our mental health services. However merging the state and federal requirements in code </w:t>
      </w:r>
      <w:proofErr w:type="gramStart"/>
      <w:r>
        <w:t>for</w:t>
      </w:r>
      <w:r w:rsidR="00E13871">
        <w:t xml:space="preserve">  </w:t>
      </w:r>
      <w:proofErr w:type="spellStart"/>
      <w:r w:rsidR="00E13871">
        <w:t>Medi</w:t>
      </w:r>
      <w:proofErr w:type="spellEnd"/>
      <w:proofErr w:type="gramEnd"/>
      <w:r w:rsidR="00E13871">
        <w:t xml:space="preserve">-Cal and Drug </w:t>
      </w:r>
      <w:proofErr w:type="spellStart"/>
      <w:r w:rsidR="00E13871">
        <w:t>Medi</w:t>
      </w:r>
      <w:proofErr w:type="spellEnd"/>
      <w:r w:rsidR="00E13871">
        <w:t>-</w:t>
      </w:r>
      <w:r>
        <w:t xml:space="preserve">Cal, Title 9 and Title 22, </w:t>
      </w:r>
      <w:r w:rsidR="00E13871">
        <w:t>restrictions on confidentiality etc. have</w:t>
      </w:r>
      <w:r>
        <w:t xml:space="preserve"> been challenging for our staff to co-create coordinated person centered care plans. </w:t>
      </w:r>
    </w:p>
    <w:p w:rsidR="008370E1" w:rsidRDefault="008370E1" w:rsidP="00CF42BE">
      <w:pPr>
        <w:pStyle w:val="ListParagraph"/>
      </w:pPr>
      <w:r>
        <w:t xml:space="preserve">. </w:t>
      </w:r>
    </w:p>
    <w:p w:rsidR="008370E1" w:rsidRDefault="008370E1" w:rsidP="00CF42BE">
      <w:pPr>
        <w:pStyle w:val="ListParagraph"/>
        <w:numPr>
          <w:ilvl w:val="0"/>
          <w:numId w:val="32"/>
        </w:numPr>
      </w:pPr>
      <w:r>
        <w:t>We have a growing population of criminal justice referrals, crisis calls, and clients who become incarcerated as a result of their mental illness. We need to continue to work on the community relationships with our law enforcement and judicial partners and work with the local primary care clinics and hospital ER to open pathways or crosswalks for the seriously mentally ill clients we are all serving. Medication assisted therapy, and cognitive restructuring programs are needed and appear to be on the horizon.</w:t>
      </w:r>
    </w:p>
    <w:p w:rsidR="00CF42BE" w:rsidRDefault="00CF42BE" w:rsidP="00CF42BE">
      <w:pPr>
        <w:pStyle w:val="ListParagraph"/>
      </w:pPr>
    </w:p>
    <w:p w:rsidR="008370E1" w:rsidRPr="008370E1" w:rsidRDefault="008370E1" w:rsidP="00CF42BE">
      <w:pPr>
        <w:pStyle w:val="ListParagraph"/>
        <w:numPr>
          <w:ilvl w:val="0"/>
          <w:numId w:val="32"/>
        </w:numPr>
      </w:pPr>
      <w:r>
        <w:t xml:space="preserve">And as others have identified, Lassen County </w:t>
      </w:r>
      <w:r w:rsidR="00E13871">
        <w:t xml:space="preserve">likewise </w:t>
      </w:r>
      <w:r>
        <w:t>has a growing need for early intervention, and</w:t>
      </w:r>
      <w:r w:rsidR="00DC0FFF">
        <w:t xml:space="preserve"> primary prevention to make</w:t>
      </w:r>
      <w:r>
        <w:t xml:space="preserve"> a difference </w:t>
      </w:r>
      <w:r w:rsidR="00DC0FFF">
        <w:t>in the future’s</w:t>
      </w:r>
      <w:r>
        <w:t xml:space="preserve"> families by working with young children, parents, and transitioning youth who have been affected by the environmental stressors and trauma of their lives. We will continue to identify effective strategies by attending meetings, belonging to professional associations, and creating a desire to learn new methods and among our staff and especially among our clients.</w:t>
      </w: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7B0FE3" w:rsidRDefault="001633F6" w:rsidP="001633F6">
      <w:pPr>
        <w:jc w:val="center"/>
        <w:rPr>
          <w:b/>
        </w:rPr>
      </w:pPr>
      <w:r w:rsidRPr="00C5755E">
        <w:rPr>
          <w:b/>
        </w:rPr>
        <w:t>&lt;END&gt;</w:t>
      </w:r>
    </w:p>
    <w:p w:rsidR="007B0FE3" w:rsidRDefault="007B0FE3">
      <w:pPr>
        <w:rPr>
          <w:b/>
        </w:rPr>
      </w:pPr>
      <w:r>
        <w:rPr>
          <w:b/>
        </w:rPr>
        <w:br w:type="page"/>
      </w:r>
    </w:p>
    <w:p w:rsidR="0004591D" w:rsidRDefault="0004591D" w:rsidP="0004591D">
      <w:r w:rsidRPr="0004591D">
        <w:rPr>
          <w:sz w:val="28"/>
          <w:szCs w:val="28"/>
        </w:rPr>
        <w:lastRenderedPageBreak/>
        <w:t>REFERENCE DATA:</w:t>
      </w:r>
      <w:r>
        <w:t xml:space="preserve">  for general comparison with your county MHP results</w:t>
      </w:r>
    </w:p>
    <w:p w:rsidR="0004591D" w:rsidRPr="0004591D" w:rsidRDefault="0004591D" w:rsidP="0004591D">
      <w:pPr>
        <w:jc w:val="center"/>
        <w:rPr>
          <w:sz w:val="20"/>
          <w:szCs w:val="20"/>
        </w:rPr>
      </w:pPr>
    </w:p>
    <w:p w:rsidR="0004591D" w:rsidRDefault="0004591D" w:rsidP="0004591D">
      <w:r>
        <w:rPr>
          <w:noProof/>
        </w:rPr>
        <w:drawing>
          <wp:inline distT="0" distB="0" distL="0" distR="0">
            <wp:extent cx="5943600" cy="2090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090420"/>
                    </a:xfrm>
                    <a:prstGeom prst="rect">
                      <a:avLst/>
                    </a:prstGeom>
                  </pic:spPr>
                </pic:pic>
              </a:graphicData>
            </a:graphic>
          </wp:inline>
        </w:drawing>
      </w:r>
    </w:p>
    <w:p w:rsidR="0004591D" w:rsidRDefault="0004591D" w:rsidP="0004591D"/>
    <w:p w:rsidR="0004591D" w:rsidRDefault="0004591D" w:rsidP="0004591D">
      <w:r>
        <w:rPr>
          <w:noProof/>
        </w:rPr>
        <w:drawing>
          <wp:inline distT="0" distB="0" distL="0" distR="0">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095500"/>
                    </a:xfrm>
                    <a:prstGeom prst="rect">
                      <a:avLst/>
                    </a:prstGeom>
                  </pic:spPr>
                </pic:pic>
              </a:graphicData>
            </a:graphic>
          </wp:inline>
        </w:drawing>
      </w:r>
    </w:p>
    <w:p w:rsidR="0004591D" w:rsidRDefault="0004591D" w:rsidP="0004591D"/>
    <w:p w:rsidR="0004591D" w:rsidRDefault="0004591D" w:rsidP="0004591D">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04591D" w:rsidRDefault="0004591D" w:rsidP="0004591D">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04591D" w:rsidRDefault="0004591D" w:rsidP="0004591D">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 xml:space="preserve">Small MHPs = El Dorado, Humboldt, Imperial, Kings, Lake, Madera, Mendocino, Napa, Nevada, </w:t>
      </w:r>
      <w:proofErr w:type="spellStart"/>
      <w:r>
        <w:rPr>
          <w:color w:val="000000"/>
          <w:sz w:val="20"/>
          <w:szCs w:val="20"/>
        </w:rPr>
        <w:t>SanBenito</w:t>
      </w:r>
      <w:proofErr w:type="spellEnd"/>
      <w:r>
        <w:rPr>
          <w:color w:val="000000"/>
          <w:sz w:val="20"/>
          <w:szCs w:val="20"/>
        </w:rPr>
        <w:t>, Shasta, Sutter/Yuba, Tehama, Tuolumne</w:t>
      </w:r>
    </w:p>
    <w:p w:rsidR="0004591D" w:rsidRDefault="0004591D" w:rsidP="0004591D">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04591D" w:rsidRDefault="0004591D" w:rsidP="0004591D">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04591D" w:rsidRDefault="0004591D" w:rsidP="0004591D">
      <w:pPr>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Los Angeles’ statistics are excluded from size comparisons, but are included in statewide data.</w:t>
      </w:r>
    </w:p>
    <w:p w:rsidR="0004591D" w:rsidRDefault="0004591D" w:rsidP="0004591D">
      <w:pPr>
        <w:rPr>
          <w:sz w:val="22"/>
          <w:szCs w:val="22"/>
        </w:rPr>
      </w:pPr>
      <w:r>
        <w:rPr>
          <w:color w:val="000000"/>
          <w:sz w:val="20"/>
          <w:szCs w:val="20"/>
        </w:rPr>
        <w:t xml:space="preserve">Total Values (in Tables above) = include all statewide data received by </w:t>
      </w:r>
      <w:proofErr w:type="spellStart"/>
      <w:r>
        <w:rPr>
          <w:color w:val="000000"/>
          <w:sz w:val="20"/>
          <w:szCs w:val="20"/>
        </w:rPr>
        <w:t>CiMH</w:t>
      </w:r>
      <w:proofErr w:type="spellEnd"/>
      <w:r>
        <w:rPr>
          <w:color w:val="000000"/>
          <w:sz w:val="20"/>
          <w:szCs w:val="20"/>
        </w:rPr>
        <w:t xml:space="preserve"> for these survey items.</w:t>
      </w:r>
    </w:p>
    <w:p w:rsidR="001633F6" w:rsidRDefault="001633F6" w:rsidP="0004591D">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98663F" w:rsidP="002A39D1">
      <w:pPr>
        <w:rPr>
          <w:b/>
        </w:rPr>
      </w:pPr>
      <w:hyperlink r:id="rId21"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98663F" w:rsidP="002A39D1">
      <w:r>
        <w:rPr>
          <w:b/>
          <w:noProof/>
        </w:rPr>
        <w:pict>
          <v:rect id="_x0000_s1027" style="position:absolute;margin-left:160.45pt;margin-top:492.15pt;width:168.75pt;height:183.75pt;flip:x;z-index:25166131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v:textbox>
            <w10:wrap type="square" anchorx="margin" anchory="margin"/>
          </v:rect>
        </w:pict>
      </w:r>
      <w:r w:rsidR="002C1D41" w:rsidRPr="00CB31BC">
        <w:t>(916) 323-4501</w:t>
      </w:r>
    </w:p>
    <w:sectPr w:rsidR="002A39D1" w:rsidRPr="00CB31BC" w:rsidSect="00CB31BC">
      <w:footerReference w:type="default" r:id="rId22"/>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3F" w:rsidRDefault="0098663F" w:rsidP="001633F6">
      <w:pPr>
        <w:spacing w:after="0" w:line="240" w:lineRule="auto"/>
      </w:pPr>
      <w:r>
        <w:separator/>
      </w:r>
    </w:p>
  </w:endnote>
  <w:endnote w:type="continuationSeparator" w:id="0">
    <w:p w:rsidR="0098663F" w:rsidRDefault="0098663F"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9A38B8">
        <w:pPr>
          <w:pStyle w:val="Footer"/>
          <w:jc w:val="right"/>
        </w:pPr>
        <w:r>
          <w:fldChar w:fldCharType="begin"/>
        </w:r>
        <w:r w:rsidR="00761489">
          <w:instrText xml:space="preserve"> PAGE   \* MERGEFORMAT </w:instrText>
        </w:r>
        <w:r>
          <w:fldChar w:fldCharType="separate"/>
        </w:r>
        <w:r w:rsidR="003C0252">
          <w:rPr>
            <w:noProof/>
          </w:rPr>
          <w:t>24</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3F" w:rsidRDefault="0098663F" w:rsidP="001633F6">
      <w:pPr>
        <w:spacing w:after="0" w:line="240" w:lineRule="auto"/>
      </w:pPr>
      <w:r>
        <w:separator/>
      </w:r>
    </w:p>
  </w:footnote>
  <w:footnote w:type="continuationSeparator" w:id="0">
    <w:p w:rsidR="0098663F" w:rsidRDefault="0098663F"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w:t>
      </w:r>
      <w:proofErr w:type="gramStart"/>
      <w:r>
        <w:t>Severe Emotional Disorder, term used for children 17 and under.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2773B"/>
    <w:multiLevelType w:val="hybridMultilevel"/>
    <w:tmpl w:val="FC10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21BF8"/>
    <w:multiLevelType w:val="hybridMultilevel"/>
    <w:tmpl w:val="26C6D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
  </w:num>
  <w:num w:numId="3">
    <w:abstractNumId w:val="18"/>
  </w:num>
  <w:num w:numId="4">
    <w:abstractNumId w:val="17"/>
  </w:num>
  <w:num w:numId="5">
    <w:abstractNumId w:val="12"/>
  </w:num>
  <w:num w:numId="6">
    <w:abstractNumId w:val="25"/>
  </w:num>
  <w:num w:numId="7">
    <w:abstractNumId w:val="21"/>
  </w:num>
  <w:num w:numId="8">
    <w:abstractNumId w:val="22"/>
  </w:num>
  <w:num w:numId="9">
    <w:abstractNumId w:val="4"/>
  </w:num>
  <w:num w:numId="10">
    <w:abstractNumId w:val="11"/>
  </w:num>
  <w:num w:numId="11">
    <w:abstractNumId w:val="26"/>
  </w:num>
  <w:num w:numId="12">
    <w:abstractNumId w:val="15"/>
  </w:num>
  <w:num w:numId="13">
    <w:abstractNumId w:val="10"/>
  </w:num>
  <w:num w:numId="14">
    <w:abstractNumId w:val="7"/>
  </w:num>
  <w:num w:numId="15">
    <w:abstractNumId w:val="31"/>
  </w:num>
  <w:num w:numId="16">
    <w:abstractNumId w:val="14"/>
  </w:num>
  <w:num w:numId="17">
    <w:abstractNumId w:val="27"/>
  </w:num>
  <w:num w:numId="18">
    <w:abstractNumId w:val="2"/>
  </w:num>
  <w:num w:numId="19">
    <w:abstractNumId w:val="16"/>
  </w:num>
  <w:num w:numId="20">
    <w:abstractNumId w:val="24"/>
  </w:num>
  <w:num w:numId="21">
    <w:abstractNumId w:val="30"/>
  </w:num>
  <w:num w:numId="22">
    <w:abstractNumId w:val="13"/>
  </w:num>
  <w:num w:numId="23">
    <w:abstractNumId w:val="5"/>
  </w:num>
  <w:num w:numId="24">
    <w:abstractNumId w:val="29"/>
  </w:num>
  <w:num w:numId="25">
    <w:abstractNumId w:val="23"/>
  </w:num>
  <w:num w:numId="26">
    <w:abstractNumId w:val="3"/>
  </w:num>
  <w:num w:numId="27">
    <w:abstractNumId w:val="0"/>
  </w:num>
  <w:num w:numId="28">
    <w:abstractNumId w:val="28"/>
  </w:num>
  <w:num w:numId="29">
    <w:abstractNumId w:val="19"/>
  </w:num>
  <w:num w:numId="30">
    <w:abstractNumId w:val="9"/>
  </w:num>
  <w:num w:numId="31">
    <w:abstractNumId w:val="20"/>
  </w:num>
  <w:num w:numId="3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3F6"/>
    <w:rsid w:val="00000132"/>
    <w:rsid w:val="00027019"/>
    <w:rsid w:val="0004591D"/>
    <w:rsid w:val="000658FC"/>
    <w:rsid w:val="00073774"/>
    <w:rsid w:val="000B73A4"/>
    <w:rsid w:val="000D07AE"/>
    <w:rsid w:val="000E2B61"/>
    <w:rsid w:val="000E6E6B"/>
    <w:rsid w:val="000F4FD0"/>
    <w:rsid w:val="00104C08"/>
    <w:rsid w:val="00111FEB"/>
    <w:rsid w:val="00146D04"/>
    <w:rsid w:val="00147650"/>
    <w:rsid w:val="00152E3F"/>
    <w:rsid w:val="00161093"/>
    <w:rsid w:val="001633F6"/>
    <w:rsid w:val="0019718E"/>
    <w:rsid w:val="001B4EE0"/>
    <w:rsid w:val="001C4A7D"/>
    <w:rsid w:val="001C5311"/>
    <w:rsid w:val="001C6F3E"/>
    <w:rsid w:val="001D000F"/>
    <w:rsid w:val="00206823"/>
    <w:rsid w:val="00213186"/>
    <w:rsid w:val="002161A3"/>
    <w:rsid w:val="002272B4"/>
    <w:rsid w:val="002526FB"/>
    <w:rsid w:val="002741C1"/>
    <w:rsid w:val="0029557D"/>
    <w:rsid w:val="0029778A"/>
    <w:rsid w:val="002A39D1"/>
    <w:rsid w:val="002B16D8"/>
    <w:rsid w:val="002B6343"/>
    <w:rsid w:val="002C1D41"/>
    <w:rsid w:val="002C2658"/>
    <w:rsid w:val="002C5FFA"/>
    <w:rsid w:val="002F3786"/>
    <w:rsid w:val="0030340F"/>
    <w:rsid w:val="00314FF1"/>
    <w:rsid w:val="003152DB"/>
    <w:rsid w:val="00325017"/>
    <w:rsid w:val="003259DD"/>
    <w:rsid w:val="0033565E"/>
    <w:rsid w:val="00342BA8"/>
    <w:rsid w:val="00357FCB"/>
    <w:rsid w:val="003644DB"/>
    <w:rsid w:val="00367E4E"/>
    <w:rsid w:val="003743D0"/>
    <w:rsid w:val="003755D4"/>
    <w:rsid w:val="003824ED"/>
    <w:rsid w:val="003A0022"/>
    <w:rsid w:val="003A4ED3"/>
    <w:rsid w:val="003A5615"/>
    <w:rsid w:val="003B0B36"/>
    <w:rsid w:val="003B5FB9"/>
    <w:rsid w:val="003C00F9"/>
    <w:rsid w:val="003C0252"/>
    <w:rsid w:val="003C0EF2"/>
    <w:rsid w:val="003D54CB"/>
    <w:rsid w:val="003E2B04"/>
    <w:rsid w:val="004045F0"/>
    <w:rsid w:val="00411F03"/>
    <w:rsid w:val="00423653"/>
    <w:rsid w:val="00427D32"/>
    <w:rsid w:val="00431428"/>
    <w:rsid w:val="00436CF0"/>
    <w:rsid w:val="00445920"/>
    <w:rsid w:val="004503B1"/>
    <w:rsid w:val="00452222"/>
    <w:rsid w:val="00464DC8"/>
    <w:rsid w:val="00480813"/>
    <w:rsid w:val="00490151"/>
    <w:rsid w:val="0049382D"/>
    <w:rsid w:val="004C02EC"/>
    <w:rsid w:val="004C0893"/>
    <w:rsid w:val="004C2E42"/>
    <w:rsid w:val="004D2317"/>
    <w:rsid w:val="004E2CD7"/>
    <w:rsid w:val="00506E0E"/>
    <w:rsid w:val="0053092F"/>
    <w:rsid w:val="005369F2"/>
    <w:rsid w:val="005554A1"/>
    <w:rsid w:val="0058072F"/>
    <w:rsid w:val="00584ABF"/>
    <w:rsid w:val="00585369"/>
    <w:rsid w:val="00597CCE"/>
    <w:rsid w:val="005A71AE"/>
    <w:rsid w:val="005B3EAA"/>
    <w:rsid w:val="005C3731"/>
    <w:rsid w:val="005D36E7"/>
    <w:rsid w:val="005D6380"/>
    <w:rsid w:val="005E1B03"/>
    <w:rsid w:val="005E493B"/>
    <w:rsid w:val="005F1FFA"/>
    <w:rsid w:val="00600E3E"/>
    <w:rsid w:val="00601364"/>
    <w:rsid w:val="0060599D"/>
    <w:rsid w:val="006109B6"/>
    <w:rsid w:val="006254F8"/>
    <w:rsid w:val="006310CD"/>
    <w:rsid w:val="00657F5C"/>
    <w:rsid w:val="0066101F"/>
    <w:rsid w:val="0067275B"/>
    <w:rsid w:val="006867F9"/>
    <w:rsid w:val="006B2BB9"/>
    <w:rsid w:val="006C0082"/>
    <w:rsid w:val="006D3461"/>
    <w:rsid w:val="006E1398"/>
    <w:rsid w:val="006F59A4"/>
    <w:rsid w:val="00726A10"/>
    <w:rsid w:val="00734CCC"/>
    <w:rsid w:val="00746BA7"/>
    <w:rsid w:val="007573C0"/>
    <w:rsid w:val="00761489"/>
    <w:rsid w:val="007756D4"/>
    <w:rsid w:val="0079331B"/>
    <w:rsid w:val="00793FA5"/>
    <w:rsid w:val="00795A53"/>
    <w:rsid w:val="007A5938"/>
    <w:rsid w:val="007B0FE3"/>
    <w:rsid w:val="007D2B61"/>
    <w:rsid w:val="007D65C5"/>
    <w:rsid w:val="007E6BC3"/>
    <w:rsid w:val="007F2D99"/>
    <w:rsid w:val="007F5D03"/>
    <w:rsid w:val="00807B75"/>
    <w:rsid w:val="00822315"/>
    <w:rsid w:val="00835B87"/>
    <w:rsid w:val="008370E1"/>
    <w:rsid w:val="008423B9"/>
    <w:rsid w:val="00842DD4"/>
    <w:rsid w:val="008436AA"/>
    <w:rsid w:val="008518A1"/>
    <w:rsid w:val="00884A28"/>
    <w:rsid w:val="008902AE"/>
    <w:rsid w:val="00892086"/>
    <w:rsid w:val="008E177E"/>
    <w:rsid w:val="0091007B"/>
    <w:rsid w:val="009167CF"/>
    <w:rsid w:val="0093336B"/>
    <w:rsid w:val="0093482E"/>
    <w:rsid w:val="00951B6C"/>
    <w:rsid w:val="0098663F"/>
    <w:rsid w:val="009969F0"/>
    <w:rsid w:val="009A17A0"/>
    <w:rsid w:val="009A38B8"/>
    <w:rsid w:val="009C002A"/>
    <w:rsid w:val="009D1AFE"/>
    <w:rsid w:val="009D6E26"/>
    <w:rsid w:val="009E6CFC"/>
    <w:rsid w:val="00A00DE9"/>
    <w:rsid w:val="00A01841"/>
    <w:rsid w:val="00A06EDA"/>
    <w:rsid w:val="00A332B3"/>
    <w:rsid w:val="00A55868"/>
    <w:rsid w:val="00A63FB0"/>
    <w:rsid w:val="00A653DF"/>
    <w:rsid w:val="00A66E33"/>
    <w:rsid w:val="00A67A65"/>
    <w:rsid w:val="00A70FFB"/>
    <w:rsid w:val="00A80F20"/>
    <w:rsid w:val="00A836DF"/>
    <w:rsid w:val="00A86045"/>
    <w:rsid w:val="00A93967"/>
    <w:rsid w:val="00AA4414"/>
    <w:rsid w:val="00AA5263"/>
    <w:rsid w:val="00AD6738"/>
    <w:rsid w:val="00AE7F98"/>
    <w:rsid w:val="00AF672B"/>
    <w:rsid w:val="00B03D2A"/>
    <w:rsid w:val="00B07512"/>
    <w:rsid w:val="00B10D78"/>
    <w:rsid w:val="00B127E9"/>
    <w:rsid w:val="00B76AB0"/>
    <w:rsid w:val="00B82CF3"/>
    <w:rsid w:val="00BE0E84"/>
    <w:rsid w:val="00BE19D2"/>
    <w:rsid w:val="00BE7786"/>
    <w:rsid w:val="00BE7ED7"/>
    <w:rsid w:val="00BF3EC3"/>
    <w:rsid w:val="00C04621"/>
    <w:rsid w:val="00C06762"/>
    <w:rsid w:val="00C25D85"/>
    <w:rsid w:val="00C26531"/>
    <w:rsid w:val="00C37241"/>
    <w:rsid w:val="00C4257D"/>
    <w:rsid w:val="00C43A43"/>
    <w:rsid w:val="00C657CF"/>
    <w:rsid w:val="00C91363"/>
    <w:rsid w:val="00C962E2"/>
    <w:rsid w:val="00C9662B"/>
    <w:rsid w:val="00CB31BC"/>
    <w:rsid w:val="00CB379E"/>
    <w:rsid w:val="00CB39E5"/>
    <w:rsid w:val="00CC658F"/>
    <w:rsid w:val="00CC7C8D"/>
    <w:rsid w:val="00CD4B6A"/>
    <w:rsid w:val="00CD7422"/>
    <w:rsid w:val="00CE4F01"/>
    <w:rsid w:val="00CE5D50"/>
    <w:rsid w:val="00CF42BE"/>
    <w:rsid w:val="00CF52E0"/>
    <w:rsid w:val="00D05B12"/>
    <w:rsid w:val="00D05CD4"/>
    <w:rsid w:val="00D06E9B"/>
    <w:rsid w:val="00D25837"/>
    <w:rsid w:val="00D35E98"/>
    <w:rsid w:val="00D43FF0"/>
    <w:rsid w:val="00D61FF8"/>
    <w:rsid w:val="00D62352"/>
    <w:rsid w:val="00D64A05"/>
    <w:rsid w:val="00D70BC4"/>
    <w:rsid w:val="00D74C61"/>
    <w:rsid w:val="00D92982"/>
    <w:rsid w:val="00D95115"/>
    <w:rsid w:val="00D979EA"/>
    <w:rsid w:val="00DB07F8"/>
    <w:rsid w:val="00DB4B65"/>
    <w:rsid w:val="00DC0FFF"/>
    <w:rsid w:val="00DC3F8C"/>
    <w:rsid w:val="00DE7DD4"/>
    <w:rsid w:val="00E11566"/>
    <w:rsid w:val="00E13871"/>
    <w:rsid w:val="00E4057A"/>
    <w:rsid w:val="00E45C46"/>
    <w:rsid w:val="00E50DE2"/>
    <w:rsid w:val="00E50F42"/>
    <w:rsid w:val="00E51D4B"/>
    <w:rsid w:val="00E5466A"/>
    <w:rsid w:val="00E71203"/>
    <w:rsid w:val="00E73A9B"/>
    <w:rsid w:val="00E75D76"/>
    <w:rsid w:val="00EA7AC2"/>
    <w:rsid w:val="00EB05FD"/>
    <w:rsid w:val="00ED45DC"/>
    <w:rsid w:val="00EE1FB3"/>
    <w:rsid w:val="00EE4124"/>
    <w:rsid w:val="00EE4CC5"/>
    <w:rsid w:val="00EF57C6"/>
    <w:rsid w:val="00F04635"/>
    <w:rsid w:val="00F0699C"/>
    <w:rsid w:val="00F2267D"/>
    <w:rsid w:val="00F227C1"/>
    <w:rsid w:val="00F37D8E"/>
    <w:rsid w:val="00F4327E"/>
    <w:rsid w:val="00F53D08"/>
    <w:rsid w:val="00F639CE"/>
    <w:rsid w:val="00F647E3"/>
    <w:rsid w:val="00F825BA"/>
    <w:rsid w:val="00F87EC2"/>
    <w:rsid w:val="00F94AB8"/>
    <w:rsid w:val="00FA34CD"/>
    <w:rsid w:val="00FA63E7"/>
    <w:rsid w:val="00FB173C"/>
    <w:rsid w:val="00FC2CC5"/>
    <w:rsid w:val="00FC6D67"/>
    <w:rsid w:val="00FD5688"/>
    <w:rsid w:val="00FE6308"/>
    <w:rsid w:val="00FF1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3D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3D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752652406">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1c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DataNotebook@CMHPC.CA.GOV" TargetMode="External"/><Relationship Id="rId7" Type="http://schemas.openxmlformats.org/officeDocument/2006/relationships/footnotes" Target="footnotes.xml"/><Relationship Id="rId12" Type="http://schemas.openxmlformats.org/officeDocument/2006/relationships/hyperlink" Target="http://caeqro.com/webx/.ee8567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Notebook@cmhpc.c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EQR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ab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0D19-BABD-401F-AD69-F24A5C0C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Dickerson</cp:lastModifiedBy>
  <cp:revision>3</cp:revision>
  <cp:lastPrinted>2014-09-26T23:02:00Z</cp:lastPrinted>
  <dcterms:created xsi:type="dcterms:W3CDTF">2015-04-20T20:52:00Z</dcterms:created>
  <dcterms:modified xsi:type="dcterms:W3CDTF">2015-04-20T20:53:00Z</dcterms:modified>
</cp:coreProperties>
</file>