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C6141" w14:textId="77777777" w:rsidR="00925F52" w:rsidRDefault="00925F52" w:rsidP="00925F52">
      <w:pPr>
        <w:spacing w:line="264" w:lineRule="auto"/>
        <w:jc w:val="center"/>
        <w:rPr>
          <w:rFonts w:ascii="Times New Roman" w:hAnsi="Times New Roman" w:cs="Times New Roman"/>
          <w:sz w:val="24"/>
          <w:szCs w:val="24"/>
        </w:rPr>
      </w:pPr>
      <w:bookmarkStart w:id="0" w:name="_GoBack"/>
      <w:bookmarkEnd w:id="0"/>
      <w:r>
        <w:rPr>
          <w:rFonts w:ascii="Times New Roman" w:hAnsi="Times New Roman" w:cs="Times New Roman"/>
          <w:b/>
          <w:bCs/>
          <w:sz w:val="28"/>
          <w:szCs w:val="28"/>
        </w:rPr>
        <w:t>Executive Summary</w:t>
      </w:r>
    </w:p>
    <w:p w14:paraId="359B9D02" w14:textId="77777777" w:rsidR="00925F52" w:rsidRPr="00601563" w:rsidRDefault="00925F52" w:rsidP="00925F52">
      <w:pPr>
        <w:spacing w:line="264" w:lineRule="auto"/>
        <w:rPr>
          <w:rFonts w:ascii="Times New Roman" w:hAnsi="Times New Roman" w:cs="Times New Roman"/>
          <w:sz w:val="24"/>
          <w:szCs w:val="24"/>
        </w:rPr>
      </w:pPr>
      <w:r w:rsidRPr="00601563">
        <w:rPr>
          <w:rFonts w:ascii="Times New Roman" w:hAnsi="Times New Roman" w:cs="Times New Roman"/>
          <w:sz w:val="24"/>
          <w:szCs w:val="24"/>
        </w:rPr>
        <w:t>The California Office of the State Long-Term Care Ombudsman advocates for the health, safety, welfare and rights of individuals living in long-term care facilities. The Ombudsman program is administered by Area Agencies on Aging</w:t>
      </w:r>
      <w:r>
        <w:rPr>
          <w:rFonts w:ascii="Times New Roman" w:hAnsi="Times New Roman" w:cs="Times New Roman"/>
          <w:sz w:val="24"/>
          <w:szCs w:val="24"/>
        </w:rPr>
        <w:t xml:space="preserve"> (AAA) which</w:t>
      </w:r>
      <w:r w:rsidRPr="00601563">
        <w:rPr>
          <w:rFonts w:ascii="Times New Roman" w:hAnsi="Times New Roman" w:cs="Times New Roman"/>
          <w:sz w:val="24"/>
          <w:szCs w:val="24"/>
        </w:rPr>
        <w:t xml:space="preserve"> is responsible for fiscal and contract administration. </w:t>
      </w:r>
    </w:p>
    <w:p w14:paraId="2DE31784" w14:textId="77777777" w:rsidR="00925F52" w:rsidRPr="00601563" w:rsidRDefault="00925F52" w:rsidP="00925F52">
      <w:pPr>
        <w:spacing w:line="264" w:lineRule="auto"/>
        <w:rPr>
          <w:rFonts w:ascii="Times New Roman" w:hAnsi="Times New Roman" w:cs="Times New Roman"/>
          <w:sz w:val="24"/>
          <w:szCs w:val="24"/>
        </w:rPr>
      </w:pPr>
      <w:r w:rsidRPr="00601563">
        <w:rPr>
          <w:rFonts w:ascii="Times New Roman" w:hAnsi="Times New Roman" w:cs="Times New Roman"/>
          <w:sz w:val="24"/>
          <w:szCs w:val="24"/>
        </w:rPr>
        <w:t xml:space="preserve">The legislative intent of this program is to use volunteers and volunteer programs to effectively assist older individuals residing in long-term care facilities in the assertion of their civil and human rights. Volunteers are primarily older adults over the age of the 65 and represents 61% of the volunteer pool.  </w:t>
      </w:r>
    </w:p>
    <w:p w14:paraId="7C09E8DC" w14:textId="77777777" w:rsidR="00925F52" w:rsidRPr="00601563" w:rsidRDefault="00925F52" w:rsidP="00925F52">
      <w:pPr>
        <w:spacing w:line="264" w:lineRule="auto"/>
        <w:rPr>
          <w:rFonts w:ascii="Times New Roman" w:hAnsi="Times New Roman" w:cs="Times New Roman"/>
          <w:sz w:val="24"/>
          <w:szCs w:val="24"/>
        </w:rPr>
      </w:pPr>
      <w:r w:rsidRPr="00601563">
        <w:rPr>
          <w:rFonts w:ascii="Times New Roman" w:hAnsi="Times New Roman" w:cs="Times New Roman"/>
          <w:sz w:val="24"/>
          <w:szCs w:val="24"/>
        </w:rPr>
        <w:t>The primary role of the Ombudsman is</w:t>
      </w:r>
      <w:r>
        <w:rPr>
          <w:rFonts w:ascii="Times New Roman" w:hAnsi="Times New Roman" w:cs="Times New Roman"/>
          <w:sz w:val="24"/>
          <w:szCs w:val="24"/>
        </w:rPr>
        <w:t xml:space="preserve"> to be an advocate for resident</w:t>
      </w:r>
      <w:r w:rsidRPr="00601563">
        <w:rPr>
          <w:rFonts w:ascii="Times New Roman" w:hAnsi="Times New Roman" w:cs="Times New Roman"/>
          <w:sz w:val="24"/>
          <w:szCs w:val="24"/>
        </w:rPr>
        <w:t>s</w:t>
      </w:r>
      <w:r>
        <w:rPr>
          <w:rFonts w:ascii="Times New Roman" w:hAnsi="Times New Roman" w:cs="Times New Roman"/>
          <w:sz w:val="24"/>
          <w:szCs w:val="24"/>
        </w:rPr>
        <w:t>’</w:t>
      </w:r>
      <w:r w:rsidRPr="00601563">
        <w:rPr>
          <w:rFonts w:ascii="Times New Roman" w:hAnsi="Times New Roman" w:cs="Times New Roman"/>
          <w:sz w:val="24"/>
          <w:szCs w:val="24"/>
        </w:rPr>
        <w:t xml:space="preserve"> rights and to respond and elevate co</w:t>
      </w:r>
      <w:r>
        <w:rPr>
          <w:rFonts w:ascii="Times New Roman" w:hAnsi="Times New Roman" w:cs="Times New Roman"/>
          <w:sz w:val="24"/>
          <w:szCs w:val="24"/>
        </w:rPr>
        <w:t xml:space="preserve">mplaints of abuse and neglect </w:t>
      </w:r>
      <w:r w:rsidRPr="00601563">
        <w:rPr>
          <w:rFonts w:ascii="Times New Roman" w:hAnsi="Times New Roman" w:cs="Times New Roman"/>
          <w:sz w:val="24"/>
          <w:szCs w:val="24"/>
        </w:rPr>
        <w:t>to licensing and state agencies that regulate Long-Term Care facilities.  In addition, Ombudsmen are encouraged to address and attempt to rectify broader or underlying causes of problems experienced by residents through advocacy and policy change.</w:t>
      </w:r>
      <w:r>
        <w:rPr>
          <w:rFonts w:ascii="Times New Roman" w:hAnsi="Times New Roman" w:cs="Times New Roman"/>
          <w:sz w:val="24"/>
          <w:szCs w:val="24"/>
        </w:rPr>
        <w:t xml:space="preserve"> </w:t>
      </w:r>
      <w:r w:rsidRPr="00601563">
        <w:rPr>
          <w:rFonts w:ascii="Times New Roman" w:hAnsi="Times New Roman" w:cs="Times New Roman"/>
          <w:sz w:val="24"/>
          <w:szCs w:val="24"/>
        </w:rPr>
        <w:t>Their visibility in facilities adds an additional layer o</w:t>
      </w:r>
      <w:r>
        <w:rPr>
          <w:rFonts w:ascii="Times New Roman" w:hAnsi="Times New Roman" w:cs="Times New Roman"/>
          <w:sz w:val="24"/>
          <w:szCs w:val="24"/>
        </w:rPr>
        <w:t>f quality assurance in resident</w:t>
      </w:r>
      <w:r w:rsidRPr="00601563">
        <w:rPr>
          <w:rFonts w:ascii="Times New Roman" w:hAnsi="Times New Roman" w:cs="Times New Roman"/>
          <w:sz w:val="24"/>
          <w:szCs w:val="24"/>
        </w:rPr>
        <w:t>s</w:t>
      </w:r>
      <w:r>
        <w:rPr>
          <w:rFonts w:ascii="Times New Roman" w:hAnsi="Times New Roman" w:cs="Times New Roman"/>
          <w:sz w:val="24"/>
          <w:szCs w:val="24"/>
        </w:rPr>
        <w:t>’</w:t>
      </w:r>
      <w:r w:rsidRPr="00601563">
        <w:rPr>
          <w:rFonts w:ascii="Times New Roman" w:hAnsi="Times New Roman" w:cs="Times New Roman"/>
          <w:sz w:val="24"/>
          <w:szCs w:val="24"/>
        </w:rPr>
        <w:t xml:space="preserve"> level of care.  </w:t>
      </w:r>
      <w:r w:rsidRPr="00601563">
        <w:rPr>
          <w:rFonts w:ascii="Times New Roman" w:hAnsi="Times New Roman" w:cs="Times New Roman"/>
          <w:bCs/>
          <w:iCs/>
          <w:sz w:val="24"/>
          <w:szCs w:val="24"/>
        </w:rPr>
        <w:t>The pandemic along with the decision to deem Ombudsman as “non-essential workers” has limited their ability to provide oversight of care and rights</w:t>
      </w:r>
    </w:p>
    <w:p w14:paraId="23372BD2" w14:textId="77777777" w:rsidR="00925F52" w:rsidRDefault="00925F52" w:rsidP="00925F52">
      <w:pPr>
        <w:spacing w:line="264" w:lineRule="auto"/>
        <w:rPr>
          <w:rFonts w:ascii="Times New Roman" w:hAnsi="Times New Roman" w:cs="Times New Roman"/>
          <w:sz w:val="24"/>
          <w:szCs w:val="24"/>
        </w:rPr>
      </w:pPr>
      <w:r w:rsidRPr="00601563">
        <w:rPr>
          <w:rFonts w:ascii="Times New Roman" w:hAnsi="Times New Roman" w:cs="Times New Roman"/>
          <w:sz w:val="24"/>
          <w:szCs w:val="24"/>
        </w:rPr>
        <w:t xml:space="preserve">Ombudsman programs are now advocating </w:t>
      </w:r>
      <w:r>
        <w:rPr>
          <w:rFonts w:ascii="Times New Roman" w:hAnsi="Times New Roman" w:cs="Times New Roman"/>
          <w:sz w:val="24"/>
          <w:szCs w:val="24"/>
        </w:rPr>
        <w:t xml:space="preserve">for </w:t>
      </w:r>
      <w:r w:rsidRPr="00601563">
        <w:rPr>
          <w:rFonts w:ascii="Times New Roman" w:hAnsi="Times New Roman" w:cs="Times New Roman"/>
          <w:sz w:val="24"/>
          <w:szCs w:val="24"/>
        </w:rPr>
        <w:t>entering fac</w:t>
      </w:r>
      <w:r>
        <w:rPr>
          <w:rFonts w:ascii="Times New Roman" w:hAnsi="Times New Roman" w:cs="Times New Roman"/>
          <w:sz w:val="24"/>
          <w:szCs w:val="24"/>
        </w:rPr>
        <w:t>ilities prior to</w:t>
      </w:r>
      <w:r w:rsidRPr="00601563">
        <w:rPr>
          <w:rFonts w:ascii="Times New Roman" w:hAnsi="Times New Roman" w:cs="Times New Roman"/>
          <w:sz w:val="24"/>
          <w:szCs w:val="24"/>
        </w:rPr>
        <w:t xml:space="preserve"> families and other</w:t>
      </w:r>
      <w:r>
        <w:rPr>
          <w:rFonts w:ascii="Times New Roman" w:hAnsi="Times New Roman" w:cs="Times New Roman"/>
          <w:sz w:val="24"/>
          <w:szCs w:val="24"/>
        </w:rPr>
        <w:t xml:space="preserve"> service professionals</w:t>
      </w:r>
      <w:r w:rsidRPr="00601563">
        <w:rPr>
          <w:rFonts w:ascii="Times New Roman" w:hAnsi="Times New Roman" w:cs="Times New Roman"/>
          <w:sz w:val="24"/>
          <w:szCs w:val="24"/>
        </w:rPr>
        <w:t>.  The decision to deem Ombudsman programs as non-essential services restricted their ability to respond to reports of complaints.  In lieu of entering facilities, Ombudsman programs have transitioned their services from providing direct services to residents to conducting weekly calls to facilities,</w:t>
      </w:r>
      <w:r>
        <w:rPr>
          <w:rFonts w:ascii="Times New Roman" w:hAnsi="Times New Roman" w:cs="Times New Roman"/>
          <w:sz w:val="24"/>
          <w:szCs w:val="24"/>
        </w:rPr>
        <w:t xml:space="preserve"> holding conference calls, and Zoom meetings</w:t>
      </w:r>
      <w:r w:rsidRPr="00601563">
        <w:rPr>
          <w:rFonts w:ascii="Times New Roman" w:hAnsi="Times New Roman" w:cs="Times New Roman"/>
          <w:sz w:val="24"/>
          <w:szCs w:val="24"/>
        </w:rPr>
        <w:t xml:space="preserve">. The Ombudsman’s ability to respond to complaints </w:t>
      </w:r>
      <w:r>
        <w:rPr>
          <w:rFonts w:ascii="Times New Roman" w:hAnsi="Times New Roman" w:cs="Times New Roman"/>
          <w:sz w:val="24"/>
          <w:szCs w:val="24"/>
        </w:rPr>
        <w:t xml:space="preserve">essentially </w:t>
      </w:r>
      <w:r w:rsidRPr="00601563">
        <w:rPr>
          <w:rFonts w:ascii="Times New Roman" w:hAnsi="Times New Roman" w:cs="Times New Roman"/>
          <w:sz w:val="24"/>
          <w:szCs w:val="24"/>
        </w:rPr>
        <w:t>ceas</w:t>
      </w:r>
      <w:r>
        <w:rPr>
          <w:rFonts w:ascii="Times New Roman" w:hAnsi="Times New Roman" w:cs="Times New Roman"/>
          <w:sz w:val="24"/>
          <w:szCs w:val="24"/>
        </w:rPr>
        <w:t>ed because they were not permitted</w:t>
      </w:r>
      <w:r w:rsidRPr="00601563">
        <w:rPr>
          <w:rFonts w:ascii="Times New Roman" w:hAnsi="Times New Roman" w:cs="Times New Roman"/>
          <w:sz w:val="24"/>
          <w:szCs w:val="24"/>
        </w:rPr>
        <w:t xml:space="preserve"> in facilities.  </w:t>
      </w:r>
    </w:p>
    <w:p w14:paraId="2C6C1FCC" w14:textId="77777777" w:rsidR="00925F52" w:rsidRPr="00601563" w:rsidRDefault="00925F52" w:rsidP="00925F52">
      <w:pPr>
        <w:spacing w:line="264" w:lineRule="auto"/>
        <w:rPr>
          <w:rFonts w:ascii="Times New Roman" w:hAnsi="Times New Roman" w:cs="Times New Roman"/>
          <w:b/>
          <w:bCs/>
          <w:i/>
          <w:iCs/>
          <w:sz w:val="24"/>
          <w:szCs w:val="24"/>
        </w:rPr>
      </w:pPr>
    </w:p>
    <w:p w14:paraId="1698E059" w14:textId="77777777" w:rsidR="00925F52" w:rsidRPr="00601563" w:rsidRDefault="00925F52" w:rsidP="00925F52">
      <w:pPr>
        <w:spacing w:line="264" w:lineRule="auto"/>
        <w:rPr>
          <w:rFonts w:ascii="Times New Roman" w:hAnsi="Times New Roman" w:cs="Times New Roman"/>
          <w:b/>
          <w:bCs/>
          <w:sz w:val="24"/>
          <w:szCs w:val="24"/>
        </w:rPr>
      </w:pPr>
      <w:r w:rsidRPr="00061CAC">
        <w:rPr>
          <w:rFonts w:ascii="Times New Roman" w:hAnsi="Times New Roman" w:cs="Times New Roman"/>
          <w:b/>
          <w:bCs/>
          <w:sz w:val="28"/>
          <w:szCs w:val="28"/>
        </w:rPr>
        <w:t>Recommendations</w:t>
      </w:r>
      <w:r w:rsidRPr="00601563">
        <w:rPr>
          <w:rFonts w:ascii="Times New Roman" w:hAnsi="Times New Roman" w:cs="Times New Roman"/>
          <w:b/>
          <w:bCs/>
          <w:sz w:val="24"/>
          <w:szCs w:val="24"/>
        </w:rPr>
        <w:t>:</w:t>
      </w:r>
    </w:p>
    <w:p w14:paraId="01E36DA2" w14:textId="77777777" w:rsidR="00925F52" w:rsidRPr="00601563" w:rsidRDefault="00925F52" w:rsidP="00925F52">
      <w:pPr>
        <w:pStyle w:val="ListParagraph"/>
        <w:numPr>
          <w:ilvl w:val="0"/>
          <w:numId w:val="4"/>
        </w:numPr>
        <w:spacing w:line="264" w:lineRule="auto"/>
        <w:ind w:left="360"/>
        <w:rPr>
          <w:rFonts w:ascii="Times New Roman" w:hAnsi="Times New Roman" w:cs="Times New Roman"/>
          <w:b/>
          <w:bCs/>
          <w:sz w:val="24"/>
          <w:szCs w:val="24"/>
        </w:rPr>
      </w:pPr>
      <w:r w:rsidRPr="00601563">
        <w:rPr>
          <w:rFonts w:ascii="Times New Roman" w:eastAsia="Times New Roman" w:hAnsi="Times New Roman" w:cs="Times New Roman"/>
          <w:sz w:val="24"/>
          <w:szCs w:val="24"/>
        </w:rPr>
        <w:t xml:space="preserve">The State Office of Long Term Care Ombudsman maintains on-going communication with the California Department of Public Health </w:t>
      </w:r>
      <w:r>
        <w:rPr>
          <w:rFonts w:ascii="Times New Roman" w:eastAsia="Times New Roman" w:hAnsi="Times New Roman" w:cs="Times New Roman"/>
          <w:sz w:val="24"/>
          <w:szCs w:val="24"/>
        </w:rPr>
        <w:t>regarding the importance of Ombudsman services to the community</w:t>
      </w:r>
      <w:r w:rsidRPr="00601563">
        <w:rPr>
          <w:rFonts w:ascii="Times New Roman" w:eastAsia="Times New Roman" w:hAnsi="Times New Roman" w:cs="Times New Roman"/>
          <w:sz w:val="24"/>
          <w:szCs w:val="24"/>
        </w:rPr>
        <w:t xml:space="preserve">  </w:t>
      </w:r>
    </w:p>
    <w:p w14:paraId="0CF19547" w14:textId="77777777" w:rsidR="00925F52" w:rsidRPr="00601563" w:rsidRDefault="00925F52" w:rsidP="00925F52">
      <w:pPr>
        <w:pStyle w:val="ListParagraph"/>
        <w:numPr>
          <w:ilvl w:val="0"/>
          <w:numId w:val="4"/>
        </w:numPr>
        <w:spacing w:line="264" w:lineRule="auto"/>
        <w:ind w:left="360"/>
        <w:rPr>
          <w:rFonts w:ascii="Times New Roman" w:hAnsi="Times New Roman" w:cs="Times New Roman"/>
          <w:b/>
          <w:bCs/>
          <w:sz w:val="24"/>
          <w:szCs w:val="24"/>
        </w:rPr>
      </w:pPr>
      <w:r w:rsidRPr="00601563">
        <w:rPr>
          <w:rFonts w:ascii="Times New Roman" w:eastAsia="Times New Roman" w:hAnsi="Times New Roman" w:cs="Times New Roman"/>
          <w:sz w:val="24"/>
          <w:szCs w:val="24"/>
        </w:rPr>
        <w:t xml:space="preserve">Require facilities to create a policy on active engagement to address isolation of residents </w:t>
      </w:r>
    </w:p>
    <w:p w14:paraId="2AF88BD4" w14:textId="77777777" w:rsidR="00925F52" w:rsidRPr="00601563" w:rsidRDefault="00925F52" w:rsidP="00925F52">
      <w:pPr>
        <w:pStyle w:val="ListParagraph"/>
        <w:numPr>
          <w:ilvl w:val="0"/>
          <w:numId w:val="4"/>
        </w:numPr>
        <w:spacing w:line="264" w:lineRule="auto"/>
        <w:ind w:left="360"/>
        <w:rPr>
          <w:rFonts w:ascii="Times New Roman" w:hAnsi="Times New Roman" w:cs="Times New Roman"/>
          <w:b/>
          <w:bCs/>
          <w:sz w:val="24"/>
          <w:szCs w:val="24"/>
        </w:rPr>
      </w:pPr>
      <w:r w:rsidRPr="00601563">
        <w:rPr>
          <w:rFonts w:ascii="Times New Roman" w:eastAsia="Times New Roman" w:hAnsi="Times New Roman" w:cs="Times New Roman"/>
          <w:sz w:val="24"/>
          <w:szCs w:val="24"/>
        </w:rPr>
        <w:t>The State Office to immediately examine ways to implement and give guidance on digital technolog</w:t>
      </w:r>
      <w:r>
        <w:rPr>
          <w:rFonts w:ascii="Times New Roman" w:eastAsia="Times New Roman" w:hAnsi="Times New Roman" w:cs="Times New Roman"/>
          <w:sz w:val="24"/>
          <w:szCs w:val="24"/>
        </w:rPr>
        <w:t>y to assist the local ombudsman</w:t>
      </w:r>
    </w:p>
    <w:p w14:paraId="1C1915FB" w14:textId="77777777" w:rsidR="00925F52" w:rsidRPr="00601563" w:rsidRDefault="00925F52" w:rsidP="00925F52">
      <w:pPr>
        <w:pStyle w:val="ListParagraph"/>
        <w:numPr>
          <w:ilvl w:val="0"/>
          <w:numId w:val="4"/>
        </w:numPr>
        <w:spacing w:line="264" w:lineRule="auto"/>
        <w:ind w:left="360"/>
        <w:rPr>
          <w:rFonts w:ascii="Times New Roman" w:hAnsi="Times New Roman" w:cs="Times New Roman"/>
          <w:b/>
          <w:bCs/>
          <w:sz w:val="24"/>
          <w:szCs w:val="24"/>
        </w:rPr>
      </w:pPr>
      <w:r w:rsidRPr="00601563">
        <w:rPr>
          <w:rFonts w:ascii="Times New Roman" w:eastAsia="Times New Roman" w:hAnsi="Times New Roman" w:cs="Times New Roman"/>
          <w:sz w:val="24"/>
          <w:szCs w:val="24"/>
        </w:rPr>
        <w:t>C4A and the State Office to educate and form a plan on realistic accountability measures between th</w:t>
      </w:r>
      <w:r>
        <w:rPr>
          <w:rFonts w:ascii="Times New Roman" w:eastAsia="Times New Roman" w:hAnsi="Times New Roman" w:cs="Times New Roman"/>
          <w:sz w:val="24"/>
          <w:szCs w:val="24"/>
        </w:rPr>
        <w:t>e administrator and the program</w:t>
      </w:r>
    </w:p>
    <w:p w14:paraId="096CFDD7" w14:textId="77777777" w:rsidR="00925F52" w:rsidRDefault="00925F52" w:rsidP="00925F52">
      <w:pPr>
        <w:pStyle w:val="ListParagraph"/>
        <w:numPr>
          <w:ilvl w:val="0"/>
          <w:numId w:val="4"/>
        </w:numPr>
        <w:spacing w:line="264" w:lineRule="auto"/>
        <w:ind w:left="360"/>
        <w:rPr>
          <w:rFonts w:ascii="Times New Roman" w:eastAsia="Times New Roman" w:hAnsi="Times New Roman" w:cs="Times New Roman"/>
          <w:sz w:val="24"/>
          <w:szCs w:val="24"/>
        </w:rPr>
      </w:pPr>
      <w:r w:rsidRPr="00601563">
        <w:rPr>
          <w:rFonts w:ascii="Times New Roman" w:eastAsia="Times New Roman" w:hAnsi="Times New Roman" w:cs="Times New Roman"/>
          <w:sz w:val="24"/>
          <w:szCs w:val="24"/>
        </w:rPr>
        <w:t>Review Older California</w:t>
      </w:r>
      <w:r>
        <w:rPr>
          <w:rFonts w:ascii="Times New Roman" w:eastAsia="Times New Roman" w:hAnsi="Times New Roman" w:cs="Times New Roman"/>
          <w:sz w:val="24"/>
          <w:szCs w:val="24"/>
        </w:rPr>
        <w:t>ns</w:t>
      </w:r>
      <w:r w:rsidRPr="00601563">
        <w:rPr>
          <w:rFonts w:ascii="Times New Roman" w:eastAsia="Times New Roman" w:hAnsi="Times New Roman" w:cs="Times New Roman"/>
          <w:sz w:val="24"/>
          <w:szCs w:val="24"/>
        </w:rPr>
        <w:t xml:space="preserve"> Act</w:t>
      </w:r>
      <w:r>
        <w:rPr>
          <w:rFonts w:ascii="Times New Roman" w:eastAsia="Times New Roman" w:hAnsi="Times New Roman" w:cs="Times New Roman"/>
          <w:sz w:val="24"/>
          <w:szCs w:val="24"/>
        </w:rPr>
        <w:t>,</w:t>
      </w:r>
      <w:r w:rsidRPr="00601563">
        <w:rPr>
          <w:rFonts w:ascii="Times New Roman" w:eastAsia="Times New Roman" w:hAnsi="Times New Roman" w:cs="Times New Roman"/>
          <w:sz w:val="24"/>
          <w:szCs w:val="24"/>
        </w:rPr>
        <w:t xml:space="preserve"> and if necessary, amend la</w:t>
      </w:r>
      <w:r>
        <w:rPr>
          <w:rFonts w:ascii="Times New Roman" w:eastAsia="Times New Roman" w:hAnsi="Times New Roman" w:cs="Times New Roman"/>
          <w:sz w:val="24"/>
          <w:szCs w:val="24"/>
        </w:rPr>
        <w:t>nguage to modernize the program</w:t>
      </w:r>
    </w:p>
    <w:p w14:paraId="3552CD0D" w14:textId="77777777" w:rsidR="00925F52" w:rsidRPr="00601563" w:rsidRDefault="00925F52" w:rsidP="00925F52">
      <w:pPr>
        <w:pStyle w:val="ListParagraph"/>
        <w:numPr>
          <w:ilvl w:val="0"/>
          <w:numId w:val="4"/>
        </w:numPr>
        <w:spacing w:line="264" w:lineRule="auto"/>
        <w:ind w:left="360"/>
        <w:rPr>
          <w:rFonts w:ascii="Times New Roman" w:eastAsia="Times New Roman" w:hAnsi="Times New Roman" w:cs="Times New Roman"/>
          <w:sz w:val="24"/>
          <w:szCs w:val="24"/>
        </w:rPr>
      </w:pPr>
      <w:r w:rsidRPr="00061CAC">
        <w:rPr>
          <w:rFonts w:ascii="Times New Roman" w:eastAsia="Times New Roman" w:hAnsi="Times New Roman" w:cs="Times New Roman"/>
          <w:sz w:val="24"/>
          <w:szCs w:val="24"/>
        </w:rPr>
        <w:t>Restructure how volunteers are used in the prog</w:t>
      </w:r>
      <w:r>
        <w:rPr>
          <w:rFonts w:ascii="Times New Roman" w:eastAsia="Times New Roman" w:hAnsi="Times New Roman" w:cs="Times New Roman"/>
          <w:sz w:val="24"/>
          <w:szCs w:val="24"/>
        </w:rPr>
        <w:t>ram and require more paid staff</w:t>
      </w:r>
    </w:p>
    <w:p w14:paraId="1CA88AA9" w14:textId="77777777" w:rsidR="00925F52" w:rsidRDefault="00925F52" w:rsidP="00676070">
      <w:pPr>
        <w:pStyle w:val="Default"/>
        <w:spacing w:line="360" w:lineRule="auto"/>
        <w:rPr>
          <w:rFonts w:asciiTheme="minorHAnsi" w:hAnsiTheme="minorHAnsi" w:cstheme="minorHAnsi"/>
          <w:b/>
          <w:bCs/>
          <w:u w:val="single"/>
        </w:rPr>
      </w:pPr>
    </w:p>
    <w:p w14:paraId="449146CC" w14:textId="77777777" w:rsidR="00925F52" w:rsidRDefault="00925F52" w:rsidP="00676070">
      <w:pPr>
        <w:pStyle w:val="Default"/>
        <w:spacing w:line="360" w:lineRule="auto"/>
        <w:rPr>
          <w:rFonts w:asciiTheme="minorHAnsi" w:hAnsiTheme="minorHAnsi" w:cstheme="minorHAnsi"/>
          <w:b/>
          <w:bCs/>
          <w:u w:val="single"/>
        </w:rPr>
      </w:pPr>
    </w:p>
    <w:p w14:paraId="668A6BD4" w14:textId="111509AE" w:rsidR="000C3825" w:rsidRPr="00426A9F" w:rsidRDefault="000C3825" w:rsidP="00676070">
      <w:pPr>
        <w:pStyle w:val="Default"/>
        <w:spacing w:line="360" w:lineRule="auto"/>
        <w:rPr>
          <w:rFonts w:asciiTheme="minorHAnsi" w:hAnsiTheme="minorHAnsi" w:cstheme="minorHAnsi"/>
          <w:b/>
          <w:bCs/>
          <w:u w:val="single"/>
        </w:rPr>
      </w:pPr>
      <w:r w:rsidRPr="00426A9F">
        <w:rPr>
          <w:rFonts w:asciiTheme="minorHAnsi" w:hAnsiTheme="minorHAnsi" w:cstheme="minorHAnsi"/>
          <w:b/>
          <w:bCs/>
          <w:u w:val="single"/>
        </w:rPr>
        <w:lastRenderedPageBreak/>
        <w:t>BACKGROUND:</w:t>
      </w:r>
    </w:p>
    <w:p w14:paraId="67578AE4" w14:textId="5A38D179" w:rsidR="000C3825" w:rsidRPr="000C485A" w:rsidRDefault="000C3825" w:rsidP="00676070">
      <w:pPr>
        <w:spacing w:line="360" w:lineRule="auto"/>
        <w:rPr>
          <w:rFonts w:cstheme="minorHAnsi"/>
          <w:sz w:val="23"/>
          <w:szCs w:val="23"/>
        </w:rPr>
      </w:pPr>
      <w:r w:rsidRPr="000C485A">
        <w:rPr>
          <w:rFonts w:cstheme="minorHAnsi"/>
          <w:sz w:val="23"/>
          <w:szCs w:val="23"/>
        </w:rPr>
        <w:t xml:space="preserve">The California Office of the State Long-Term Care Ombudsman (Office), advocates for the health, safety, welfare and rights of individuals living in long-term care facilities. To accomplish its goals, the Office designates public and non-profit organizations throughout the state to act as local Ombudsmen in hearing, investigating and resolving complaints filed by or on behalf of long-term care residents. </w:t>
      </w:r>
      <w:r w:rsidR="00C46A13" w:rsidRPr="000C485A">
        <w:rPr>
          <w:rFonts w:cstheme="minorHAnsi"/>
          <w:sz w:val="23"/>
          <w:szCs w:val="23"/>
        </w:rPr>
        <w:t>The legislative intent of this program is to use volunteers a</w:t>
      </w:r>
      <w:r w:rsidR="00A02589" w:rsidRPr="000C485A">
        <w:rPr>
          <w:rFonts w:cstheme="minorHAnsi"/>
          <w:sz w:val="23"/>
          <w:szCs w:val="23"/>
        </w:rPr>
        <w:t>n</w:t>
      </w:r>
      <w:r w:rsidR="00C46A13" w:rsidRPr="000C485A">
        <w:rPr>
          <w:rFonts w:cstheme="minorHAnsi"/>
          <w:sz w:val="23"/>
          <w:szCs w:val="23"/>
        </w:rPr>
        <w:t xml:space="preserve">d volunteer programs to effectively assist older individuals residing in long-term care facilities  in the assertion of their civil and human rights [OAA 712(a)(1)(B) and WIC 9700, 9701(f)]. </w:t>
      </w:r>
      <w:r w:rsidRPr="000C485A">
        <w:rPr>
          <w:rFonts w:cstheme="minorHAnsi"/>
          <w:sz w:val="23"/>
          <w:szCs w:val="23"/>
        </w:rPr>
        <w:t xml:space="preserve">Approximately 80% of California’s State Certified Ombudsman representatives are volunteers and </w:t>
      </w:r>
      <w:r w:rsidR="00CA1952" w:rsidRPr="000C485A">
        <w:rPr>
          <w:rFonts w:cstheme="minorHAnsi"/>
          <w:sz w:val="23"/>
          <w:szCs w:val="23"/>
        </w:rPr>
        <w:t>are</w:t>
      </w:r>
      <w:r w:rsidRPr="000C485A">
        <w:rPr>
          <w:rFonts w:cstheme="minorHAnsi"/>
          <w:sz w:val="23"/>
          <w:szCs w:val="23"/>
        </w:rPr>
        <w:t xml:space="preserve"> a critical  component </w:t>
      </w:r>
      <w:r w:rsidR="0018567F">
        <w:rPr>
          <w:rFonts w:cstheme="minorHAnsi"/>
          <w:sz w:val="23"/>
          <w:szCs w:val="23"/>
        </w:rPr>
        <w:t>to service delivery in the</w:t>
      </w:r>
      <w:r w:rsidRPr="000C485A">
        <w:rPr>
          <w:rFonts w:cstheme="minorHAnsi"/>
          <w:sz w:val="23"/>
          <w:szCs w:val="23"/>
        </w:rPr>
        <w:t xml:space="preserve"> </w:t>
      </w:r>
      <w:r w:rsidR="00BC722D" w:rsidRPr="000C485A">
        <w:rPr>
          <w:rFonts w:cstheme="minorHAnsi"/>
          <w:sz w:val="23"/>
          <w:szCs w:val="23"/>
        </w:rPr>
        <w:t>Long-Term</w:t>
      </w:r>
      <w:r w:rsidR="00A02589" w:rsidRPr="000C485A">
        <w:rPr>
          <w:rFonts w:cstheme="minorHAnsi"/>
          <w:sz w:val="23"/>
          <w:szCs w:val="23"/>
        </w:rPr>
        <w:t xml:space="preserve"> Care Ombudsman Program (LTCOP)</w:t>
      </w:r>
      <w:r w:rsidRPr="000C485A">
        <w:rPr>
          <w:rFonts w:cstheme="minorHAnsi"/>
          <w:sz w:val="23"/>
          <w:szCs w:val="23"/>
        </w:rPr>
        <w:t xml:space="preserve"> services. </w:t>
      </w:r>
      <w:r w:rsidR="005F3385" w:rsidRPr="000C485A">
        <w:rPr>
          <w:rFonts w:cstheme="minorHAnsi"/>
          <w:sz w:val="23"/>
          <w:szCs w:val="23"/>
        </w:rPr>
        <w:t>Vo</w:t>
      </w:r>
      <w:r w:rsidRPr="000C485A">
        <w:rPr>
          <w:rFonts w:cstheme="minorHAnsi"/>
          <w:sz w:val="23"/>
          <w:szCs w:val="23"/>
        </w:rPr>
        <w:t>lunteers are primaril</w:t>
      </w:r>
      <w:r w:rsidR="00A02589" w:rsidRPr="000C485A">
        <w:rPr>
          <w:rFonts w:cstheme="minorHAnsi"/>
          <w:sz w:val="23"/>
          <w:szCs w:val="23"/>
        </w:rPr>
        <w:t xml:space="preserve">y </w:t>
      </w:r>
      <w:r w:rsidR="00445863">
        <w:rPr>
          <w:rFonts w:cstheme="minorHAnsi"/>
          <w:sz w:val="23"/>
          <w:szCs w:val="23"/>
        </w:rPr>
        <w:t>individuals over age 65 and represent</w:t>
      </w:r>
      <w:r w:rsidRPr="000C485A">
        <w:rPr>
          <w:rFonts w:cstheme="minorHAnsi"/>
          <w:sz w:val="23"/>
          <w:szCs w:val="23"/>
        </w:rPr>
        <w:t xml:space="preserve"> 61% of </w:t>
      </w:r>
      <w:r w:rsidR="005F3385" w:rsidRPr="000C485A">
        <w:rPr>
          <w:rFonts w:cstheme="minorHAnsi"/>
          <w:sz w:val="23"/>
          <w:szCs w:val="23"/>
        </w:rPr>
        <w:t>LTCOP</w:t>
      </w:r>
      <w:r w:rsidR="00445863">
        <w:rPr>
          <w:rFonts w:cstheme="minorHAnsi"/>
          <w:sz w:val="23"/>
          <w:szCs w:val="23"/>
        </w:rPr>
        <w:t xml:space="preserve"> volunteer pool</w:t>
      </w:r>
      <w:r w:rsidRPr="000C485A">
        <w:rPr>
          <w:rFonts w:cstheme="minorHAnsi"/>
          <w:sz w:val="23"/>
          <w:szCs w:val="23"/>
        </w:rPr>
        <w:t xml:space="preserve">.  </w:t>
      </w:r>
    </w:p>
    <w:p w14:paraId="4207F085" w14:textId="2C77514C" w:rsidR="004964F3" w:rsidRPr="0018567F" w:rsidRDefault="0018567F" w:rsidP="00676070">
      <w:pPr>
        <w:spacing w:line="360" w:lineRule="auto"/>
        <w:rPr>
          <w:rStyle w:val="Hyperlink"/>
          <w:rFonts w:cstheme="minorHAnsi"/>
          <w:sz w:val="23"/>
          <w:szCs w:val="23"/>
        </w:rPr>
      </w:pPr>
      <w:r w:rsidRPr="00CA1952">
        <w:rPr>
          <w:rFonts w:cstheme="minorHAnsi"/>
          <w:noProof/>
          <w:sz w:val="23"/>
          <w:szCs w:val="23"/>
        </w:rPr>
        <mc:AlternateContent>
          <mc:Choice Requires="wps">
            <w:drawing>
              <wp:anchor distT="91440" distB="91440" distL="114300" distR="114300" simplePos="0" relativeHeight="251664384" behindDoc="1" locked="0" layoutInCell="1" allowOverlap="1" wp14:anchorId="50CA37A3" wp14:editId="52637AD7">
                <wp:simplePos x="0" y="0"/>
                <wp:positionH relativeFrom="margin">
                  <wp:posOffset>3019425</wp:posOffset>
                </wp:positionH>
                <wp:positionV relativeFrom="paragraph">
                  <wp:posOffset>516890</wp:posOffset>
                </wp:positionV>
                <wp:extent cx="2943225" cy="1403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noFill/>
                        <a:ln w="9525">
                          <a:noFill/>
                          <a:miter lim="800000"/>
                          <a:headEnd/>
                          <a:tailEnd/>
                        </a:ln>
                      </wps:spPr>
                      <wps:txbx>
                        <w:txbxContent>
                          <w:p w14:paraId="235E1561" w14:textId="32A38D2A" w:rsidR="00CA1952" w:rsidRPr="00C54FE6" w:rsidRDefault="00C54FE6" w:rsidP="00CA1952">
                            <w:pPr>
                              <w:autoSpaceDE w:val="0"/>
                              <w:autoSpaceDN w:val="0"/>
                              <w:rPr>
                                <w:rFonts w:ascii="Helvetica" w:eastAsia="Times New Roman" w:hAnsi="Helvetica" w:cs="Helvetica"/>
                                <w:b/>
                                <w:bCs/>
                                <w:i/>
                                <w:iCs/>
                                <w:color w:val="000000"/>
                                <w:sz w:val="18"/>
                                <w:szCs w:val="18"/>
                                <w:lang w:val="en"/>
                              </w:rPr>
                            </w:pPr>
                            <w:r w:rsidRPr="00C54FE6">
                              <w:rPr>
                                <w:rFonts w:ascii="Helvetica" w:eastAsia="Times New Roman" w:hAnsi="Helvetica" w:cs="Helvetica"/>
                                <w:b/>
                                <w:bCs/>
                                <w:i/>
                                <w:iCs/>
                                <w:color w:val="000000"/>
                                <w:sz w:val="18"/>
                                <w:szCs w:val="18"/>
                                <w:lang w:val="en"/>
                              </w:rPr>
                              <w:t>Figure 1:</w:t>
                            </w:r>
                          </w:p>
                          <w:p w14:paraId="6B66FC95" w14:textId="77777777" w:rsidR="00CA1952" w:rsidRPr="001D7410" w:rsidRDefault="00CA1952" w:rsidP="00CA1952">
                            <w:pPr>
                              <w:autoSpaceDE w:val="0"/>
                              <w:autoSpaceDN w:val="0"/>
                              <w:rPr>
                                <w:rFonts w:ascii="Helvetica" w:eastAsia="Times New Roman" w:hAnsi="Helvetica" w:cs="Helvetica"/>
                                <w:b/>
                                <w:bCs/>
                                <w:i/>
                                <w:iCs/>
                                <w:color w:val="000000"/>
                                <w:sz w:val="18"/>
                                <w:szCs w:val="18"/>
                                <w:lang w:val="en"/>
                              </w:rPr>
                            </w:pPr>
                            <w:r w:rsidRPr="001D7410">
                              <w:rPr>
                                <w:rFonts w:ascii="Helvetica" w:eastAsia="Times New Roman" w:hAnsi="Helvetica" w:cs="Helvetica"/>
                                <w:b/>
                                <w:bCs/>
                                <w:i/>
                                <w:iCs/>
                                <w:color w:val="000000"/>
                                <w:sz w:val="18"/>
                                <w:szCs w:val="18"/>
                                <w:lang w:val="en"/>
                              </w:rPr>
                              <w:t>§ 1324.17 Responsibilities of agencies hosting local Ombudsman entities</w:t>
                            </w:r>
                          </w:p>
                          <w:p w14:paraId="68F4D1DE" w14:textId="77777777" w:rsidR="00CA1952" w:rsidRPr="001D7410" w:rsidRDefault="00CA1952" w:rsidP="00CA1952">
                            <w:pPr>
                              <w:autoSpaceDE w:val="0"/>
                              <w:autoSpaceDN w:val="0"/>
                              <w:spacing w:before="150" w:after="150" w:line="240" w:lineRule="auto"/>
                              <w:rPr>
                                <w:rFonts w:ascii="Helvetica" w:eastAsia="Times New Roman" w:hAnsi="Helvetica" w:cs="Helvetica"/>
                                <w:i/>
                                <w:iCs/>
                                <w:color w:val="000000"/>
                                <w:sz w:val="18"/>
                                <w:szCs w:val="18"/>
                                <w:lang w:val="en"/>
                              </w:rPr>
                            </w:pPr>
                            <w:r w:rsidRPr="001D7410">
                              <w:rPr>
                                <w:rFonts w:ascii="Helvetica" w:eastAsia="Times New Roman" w:hAnsi="Helvetica" w:cs="Helvetica"/>
                                <w:b/>
                                <w:bCs/>
                                <w:i/>
                                <w:iCs/>
                                <w:color w:val="000000"/>
                                <w:sz w:val="18"/>
                                <w:szCs w:val="18"/>
                                <w:lang w:val="en"/>
                              </w:rPr>
                              <w:t xml:space="preserve"> (a)</w:t>
                            </w:r>
                            <w:r w:rsidRPr="001D7410">
                              <w:rPr>
                                <w:rFonts w:ascii="Helvetica" w:eastAsia="Times New Roman" w:hAnsi="Helvetica" w:cs="Helvetica"/>
                                <w:i/>
                                <w:iCs/>
                                <w:color w:val="000000"/>
                                <w:sz w:val="18"/>
                                <w:szCs w:val="18"/>
                                <w:lang w:val="en"/>
                              </w:rPr>
                              <w:t xml:space="preserve"> The </w:t>
                            </w:r>
                            <w:hyperlink r:id="rId8" w:history="1">
                              <w:r w:rsidRPr="001D7410">
                                <w:rPr>
                                  <w:rFonts w:ascii="Helvetica" w:eastAsia="Times New Roman" w:hAnsi="Helvetica" w:cs="Helvetica"/>
                                  <w:i/>
                                  <w:iCs/>
                                  <w:color w:val="0068AC"/>
                                  <w:sz w:val="18"/>
                                  <w:szCs w:val="18"/>
                                  <w:lang w:val="en"/>
                                </w:rPr>
                                <w:t>agency</w:t>
                              </w:r>
                            </w:hyperlink>
                            <w:r w:rsidRPr="001D7410">
                              <w:rPr>
                                <w:rFonts w:ascii="Helvetica" w:eastAsia="Times New Roman" w:hAnsi="Helvetica" w:cs="Helvetica"/>
                                <w:i/>
                                <w:iCs/>
                                <w:color w:val="000000"/>
                                <w:sz w:val="18"/>
                                <w:szCs w:val="18"/>
                                <w:lang w:val="en"/>
                              </w:rPr>
                              <w:t xml:space="preserve"> in which a local Ombudsman entity is organizationally located shall be responsible for the personnel management, but not the programmatic oversight, of representatives, including employee and volunteer representatives, of the Office. </w:t>
                            </w:r>
                          </w:p>
                          <w:p w14:paraId="3F3B4BC8" w14:textId="7876A49A" w:rsidR="00CA1952" w:rsidRDefault="00CA1952" w:rsidP="00CA1952">
                            <w:pPr>
                              <w:pBdr>
                                <w:top w:val="single" w:sz="24" w:space="8" w:color="4472C4" w:themeColor="accent1"/>
                                <w:bottom w:val="single" w:sz="24" w:space="8" w:color="4472C4" w:themeColor="accent1"/>
                              </w:pBdr>
                              <w:spacing w:after="0"/>
                              <w:rPr>
                                <w:i/>
                                <w:iCs/>
                                <w:color w:val="4472C4" w:themeColor="accent1"/>
                                <w:sz w:val="24"/>
                              </w:rPr>
                            </w:pPr>
                            <w:r w:rsidRPr="001D7410">
                              <w:rPr>
                                <w:rFonts w:ascii="Helvetica" w:eastAsia="Times New Roman" w:hAnsi="Helvetica" w:cs="Helvetica"/>
                                <w:b/>
                                <w:bCs/>
                                <w:i/>
                                <w:iCs/>
                                <w:color w:val="000000"/>
                                <w:sz w:val="18"/>
                                <w:szCs w:val="18"/>
                                <w:lang w:val="en"/>
                              </w:rPr>
                              <w:t>(b)</w:t>
                            </w:r>
                            <w:r w:rsidRPr="001D7410">
                              <w:rPr>
                                <w:rFonts w:ascii="Helvetica" w:eastAsia="Times New Roman" w:hAnsi="Helvetica" w:cs="Helvetica"/>
                                <w:i/>
                                <w:iCs/>
                                <w:color w:val="000000"/>
                                <w:sz w:val="18"/>
                                <w:szCs w:val="18"/>
                                <w:lang w:val="en"/>
                              </w:rPr>
                              <w:t xml:space="preserve"> The </w:t>
                            </w:r>
                            <w:hyperlink r:id="rId9" w:history="1">
                              <w:r w:rsidRPr="001D7410">
                                <w:rPr>
                                  <w:rFonts w:ascii="Helvetica" w:eastAsia="Times New Roman" w:hAnsi="Helvetica" w:cs="Helvetica"/>
                                  <w:i/>
                                  <w:iCs/>
                                  <w:color w:val="0068AC"/>
                                  <w:sz w:val="18"/>
                                  <w:szCs w:val="18"/>
                                  <w:lang w:val="en"/>
                                </w:rPr>
                                <w:t>agency</w:t>
                              </w:r>
                            </w:hyperlink>
                            <w:r w:rsidRPr="001D7410">
                              <w:rPr>
                                <w:rFonts w:ascii="Helvetica" w:eastAsia="Times New Roman" w:hAnsi="Helvetica" w:cs="Helvetica"/>
                                <w:i/>
                                <w:iCs/>
                                <w:color w:val="000000"/>
                                <w:sz w:val="18"/>
                                <w:szCs w:val="18"/>
                                <w:lang w:val="en"/>
                              </w:rPr>
                              <w:t xml:space="preserve"> in which a local Ombudsman entity is organizationally located shall not have personnel policies or practices which prohibit the representatives of the Office from performing the duties, or from adhering to the access, confidentiality and </w:t>
                            </w:r>
                            <w:hyperlink r:id="rId10" w:history="1">
                              <w:r w:rsidRPr="001D7410">
                                <w:rPr>
                                  <w:rFonts w:ascii="Helvetica" w:eastAsia="Times New Roman" w:hAnsi="Helvetica" w:cs="Helvetica"/>
                                  <w:i/>
                                  <w:iCs/>
                                  <w:color w:val="0068AC"/>
                                  <w:sz w:val="18"/>
                                  <w:szCs w:val="18"/>
                                  <w:lang w:val="en"/>
                                </w:rPr>
                                <w:t>disclosure</w:t>
                              </w:r>
                            </w:hyperlink>
                            <w:r w:rsidRPr="001D7410">
                              <w:rPr>
                                <w:rFonts w:ascii="Helvetica" w:eastAsia="Times New Roman" w:hAnsi="Helvetica" w:cs="Helvetica"/>
                                <w:i/>
                                <w:iCs/>
                                <w:color w:val="000000"/>
                                <w:sz w:val="18"/>
                                <w:szCs w:val="18"/>
                                <w:lang w:val="en"/>
                              </w:rPr>
                              <w:t xml:space="preserve"> requirements of section 712 of </w:t>
                            </w:r>
                            <w:hyperlink r:id="rId11" w:history="1">
                              <w:r w:rsidRPr="001D7410">
                                <w:rPr>
                                  <w:rFonts w:ascii="Helvetica" w:eastAsia="Times New Roman" w:hAnsi="Helvetica" w:cs="Helvetica"/>
                                  <w:i/>
                                  <w:iCs/>
                                  <w:color w:val="0068AC"/>
                                  <w:sz w:val="18"/>
                                  <w:szCs w:val="18"/>
                                  <w:lang w:val="en"/>
                                </w:rPr>
                                <w:t>the Act</w:t>
                              </w:r>
                            </w:hyperlink>
                            <w:r w:rsidRPr="001D7410">
                              <w:rPr>
                                <w:rFonts w:ascii="Helvetica" w:eastAsia="Times New Roman" w:hAnsi="Helvetica" w:cs="Helvetica"/>
                                <w:i/>
                                <w:iCs/>
                                <w:color w:val="000000"/>
                                <w:sz w:val="18"/>
                                <w:szCs w:val="18"/>
                                <w:lang w:val="en"/>
                              </w:rPr>
                              <w:t xml:space="preserve">, as implemented through this rule and the </w:t>
                            </w:r>
                            <w:hyperlink r:id="rId12" w:history="1">
                              <w:r w:rsidRPr="001D7410">
                                <w:rPr>
                                  <w:rFonts w:ascii="Helvetica" w:eastAsia="Times New Roman" w:hAnsi="Helvetica" w:cs="Helvetica"/>
                                  <w:i/>
                                  <w:iCs/>
                                  <w:color w:val="0068AC"/>
                                  <w:sz w:val="18"/>
                                  <w:szCs w:val="18"/>
                                  <w:lang w:val="en"/>
                                </w:rPr>
                                <w:t>policies and procedures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A37A3" id="_x0000_t202" coordsize="21600,21600" o:spt="202" path="m,l,21600r21600,l21600,xe">
                <v:stroke joinstyle="miter"/>
                <v:path gradientshapeok="t" o:connecttype="rect"/>
              </v:shapetype>
              <v:shape id="Text Box 2" o:spid="_x0000_s1026" type="#_x0000_t202" style="position:absolute;margin-left:237.75pt;margin-top:40.7pt;width:231.75pt;height:110.55pt;z-index:-25165209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" filled="f" stroked="f">
                <v:textbox style="mso-fit-shape-to-text:t">
                  <w:txbxContent>
                    <w:p w14:paraId="235E1561" w14:textId="32A38D2A" w:rsidR="00CA1952" w:rsidRPr="00C54FE6" w:rsidRDefault="00C54FE6" w:rsidP="00CA1952">
                      <w:pPr>
                        <w:autoSpaceDE w:val="0"/>
                        <w:autoSpaceDN w:val="0"/>
                        <w:rPr>
                          <w:rFonts w:ascii="Helvetica" w:eastAsia="Times New Roman" w:hAnsi="Helvetica" w:cs="Helvetica"/>
                          <w:b/>
                          <w:bCs/>
                          <w:i/>
                          <w:iCs/>
                          <w:color w:val="000000"/>
                          <w:sz w:val="18"/>
                          <w:szCs w:val="18"/>
                          <w:lang w:val="en"/>
                        </w:rPr>
                      </w:pPr>
                      <w:r w:rsidRPr="00C54FE6">
                        <w:rPr>
                          <w:rFonts w:ascii="Helvetica" w:eastAsia="Times New Roman" w:hAnsi="Helvetica" w:cs="Helvetica"/>
                          <w:b/>
                          <w:bCs/>
                          <w:i/>
                          <w:iCs/>
                          <w:color w:val="000000"/>
                          <w:sz w:val="18"/>
                          <w:szCs w:val="18"/>
                          <w:lang w:val="en"/>
                        </w:rPr>
                        <w:t>Figure 1:</w:t>
                      </w:r>
                    </w:p>
                    <w:p w14:paraId="6B66FC95" w14:textId="77777777" w:rsidR="00CA1952" w:rsidRPr="001D7410" w:rsidRDefault="00CA1952" w:rsidP="00CA1952">
                      <w:pPr>
                        <w:autoSpaceDE w:val="0"/>
                        <w:autoSpaceDN w:val="0"/>
                        <w:rPr>
                          <w:rFonts w:ascii="Helvetica" w:eastAsia="Times New Roman" w:hAnsi="Helvetica" w:cs="Helvetica"/>
                          <w:b/>
                          <w:bCs/>
                          <w:i/>
                          <w:iCs/>
                          <w:color w:val="000000"/>
                          <w:sz w:val="18"/>
                          <w:szCs w:val="18"/>
                          <w:lang w:val="en"/>
                        </w:rPr>
                      </w:pPr>
                      <w:r w:rsidRPr="001D7410">
                        <w:rPr>
                          <w:rFonts w:ascii="Helvetica" w:eastAsia="Times New Roman" w:hAnsi="Helvetica" w:cs="Helvetica"/>
                          <w:b/>
                          <w:bCs/>
                          <w:i/>
                          <w:iCs/>
                          <w:color w:val="000000"/>
                          <w:sz w:val="18"/>
                          <w:szCs w:val="18"/>
                          <w:lang w:val="en"/>
                        </w:rPr>
                        <w:t>§ 1324.17 Responsibilities of agencies hosting local Ombudsman entities</w:t>
                      </w:r>
                    </w:p>
                    <w:p w14:paraId="68F4D1DE" w14:textId="77777777" w:rsidR="00CA1952" w:rsidRPr="001D7410" w:rsidRDefault="00CA1952" w:rsidP="00CA1952">
                      <w:pPr>
                        <w:autoSpaceDE w:val="0"/>
                        <w:autoSpaceDN w:val="0"/>
                        <w:spacing w:before="150" w:after="150" w:line="240" w:lineRule="auto"/>
                        <w:rPr>
                          <w:rFonts w:ascii="Helvetica" w:eastAsia="Times New Roman" w:hAnsi="Helvetica" w:cs="Helvetica"/>
                          <w:i/>
                          <w:iCs/>
                          <w:color w:val="000000"/>
                          <w:sz w:val="18"/>
                          <w:szCs w:val="18"/>
                          <w:lang w:val="en"/>
                        </w:rPr>
                      </w:pPr>
                      <w:r w:rsidRPr="001D7410">
                        <w:rPr>
                          <w:rFonts w:ascii="Helvetica" w:eastAsia="Times New Roman" w:hAnsi="Helvetica" w:cs="Helvetica"/>
                          <w:b/>
                          <w:bCs/>
                          <w:i/>
                          <w:iCs/>
                          <w:color w:val="000000"/>
                          <w:sz w:val="18"/>
                          <w:szCs w:val="18"/>
                          <w:lang w:val="en"/>
                        </w:rPr>
                        <w:t xml:space="preserve"> (a)</w:t>
                      </w:r>
                      <w:r w:rsidRPr="001D7410">
                        <w:rPr>
                          <w:rFonts w:ascii="Helvetica" w:eastAsia="Times New Roman" w:hAnsi="Helvetica" w:cs="Helvetica"/>
                          <w:i/>
                          <w:iCs/>
                          <w:color w:val="000000"/>
                          <w:sz w:val="18"/>
                          <w:szCs w:val="18"/>
                          <w:lang w:val="en"/>
                        </w:rPr>
                        <w:t xml:space="preserve"> The </w:t>
                      </w:r>
                      <w:hyperlink r:id="rId13" w:history="1">
                        <w:r w:rsidRPr="001D7410">
                          <w:rPr>
                            <w:rFonts w:ascii="Helvetica" w:eastAsia="Times New Roman" w:hAnsi="Helvetica" w:cs="Helvetica"/>
                            <w:i/>
                            <w:iCs/>
                            <w:color w:val="0068AC"/>
                            <w:sz w:val="18"/>
                            <w:szCs w:val="18"/>
                            <w:lang w:val="en"/>
                          </w:rPr>
                          <w:t>agency</w:t>
                        </w:r>
                      </w:hyperlink>
                      <w:r w:rsidRPr="001D7410">
                        <w:rPr>
                          <w:rFonts w:ascii="Helvetica" w:eastAsia="Times New Roman" w:hAnsi="Helvetica" w:cs="Helvetica"/>
                          <w:i/>
                          <w:iCs/>
                          <w:color w:val="000000"/>
                          <w:sz w:val="18"/>
                          <w:szCs w:val="18"/>
                          <w:lang w:val="en"/>
                        </w:rPr>
                        <w:t xml:space="preserve"> in which a local Ombudsman entity is organizationally located shall be responsible for the personnel management, but not the programmatic oversight, of representatives, including employee and volunteer representatives, of the Office. </w:t>
                      </w:r>
                    </w:p>
                    <w:p w14:paraId="3F3B4BC8" w14:textId="7876A49A" w:rsidR="00CA1952" w:rsidRDefault="00CA1952" w:rsidP="00CA1952">
                      <w:pPr>
                        <w:pBdr>
                          <w:top w:val="single" w:sz="24" w:space="8" w:color="4472C4" w:themeColor="accent1"/>
                          <w:bottom w:val="single" w:sz="24" w:space="8" w:color="4472C4" w:themeColor="accent1"/>
                        </w:pBdr>
                        <w:spacing w:after="0"/>
                        <w:rPr>
                          <w:i/>
                          <w:iCs/>
                          <w:color w:val="4472C4" w:themeColor="accent1"/>
                          <w:sz w:val="24"/>
                        </w:rPr>
                      </w:pPr>
                      <w:r w:rsidRPr="001D7410">
                        <w:rPr>
                          <w:rFonts w:ascii="Helvetica" w:eastAsia="Times New Roman" w:hAnsi="Helvetica" w:cs="Helvetica"/>
                          <w:b/>
                          <w:bCs/>
                          <w:i/>
                          <w:iCs/>
                          <w:color w:val="000000"/>
                          <w:sz w:val="18"/>
                          <w:szCs w:val="18"/>
                          <w:lang w:val="en"/>
                        </w:rPr>
                        <w:t>(b)</w:t>
                      </w:r>
                      <w:r w:rsidRPr="001D7410">
                        <w:rPr>
                          <w:rFonts w:ascii="Helvetica" w:eastAsia="Times New Roman" w:hAnsi="Helvetica" w:cs="Helvetica"/>
                          <w:i/>
                          <w:iCs/>
                          <w:color w:val="000000"/>
                          <w:sz w:val="18"/>
                          <w:szCs w:val="18"/>
                          <w:lang w:val="en"/>
                        </w:rPr>
                        <w:t xml:space="preserve"> The </w:t>
                      </w:r>
                      <w:hyperlink r:id="rId14" w:history="1">
                        <w:r w:rsidRPr="001D7410">
                          <w:rPr>
                            <w:rFonts w:ascii="Helvetica" w:eastAsia="Times New Roman" w:hAnsi="Helvetica" w:cs="Helvetica"/>
                            <w:i/>
                            <w:iCs/>
                            <w:color w:val="0068AC"/>
                            <w:sz w:val="18"/>
                            <w:szCs w:val="18"/>
                            <w:lang w:val="en"/>
                          </w:rPr>
                          <w:t>agency</w:t>
                        </w:r>
                      </w:hyperlink>
                      <w:r w:rsidRPr="001D7410">
                        <w:rPr>
                          <w:rFonts w:ascii="Helvetica" w:eastAsia="Times New Roman" w:hAnsi="Helvetica" w:cs="Helvetica"/>
                          <w:i/>
                          <w:iCs/>
                          <w:color w:val="000000"/>
                          <w:sz w:val="18"/>
                          <w:szCs w:val="18"/>
                          <w:lang w:val="en"/>
                        </w:rPr>
                        <w:t xml:space="preserve"> in which a local Ombudsman entity is organizationally located shall not have personnel policies or practices which prohibit the representatives of the Office from performing the duties, or from adhering to the access, confidentiality and </w:t>
                      </w:r>
                      <w:hyperlink r:id="rId15" w:history="1">
                        <w:r w:rsidRPr="001D7410">
                          <w:rPr>
                            <w:rFonts w:ascii="Helvetica" w:eastAsia="Times New Roman" w:hAnsi="Helvetica" w:cs="Helvetica"/>
                            <w:i/>
                            <w:iCs/>
                            <w:color w:val="0068AC"/>
                            <w:sz w:val="18"/>
                            <w:szCs w:val="18"/>
                            <w:lang w:val="en"/>
                          </w:rPr>
                          <w:t>disclosure</w:t>
                        </w:r>
                      </w:hyperlink>
                      <w:r w:rsidRPr="001D7410">
                        <w:rPr>
                          <w:rFonts w:ascii="Helvetica" w:eastAsia="Times New Roman" w:hAnsi="Helvetica" w:cs="Helvetica"/>
                          <w:i/>
                          <w:iCs/>
                          <w:color w:val="000000"/>
                          <w:sz w:val="18"/>
                          <w:szCs w:val="18"/>
                          <w:lang w:val="en"/>
                        </w:rPr>
                        <w:t xml:space="preserve"> requirements of section 712 of </w:t>
                      </w:r>
                      <w:hyperlink r:id="rId16" w:history="1">
                        <w:r w:rsidRPr="001D7410">
                          <w:rPr>
                            <w:rFonts w:ascii="Helvetica" w:eastAsia="Times New Roman" w:hAnsi="Helvetica" w:cs="Helvetica"/>
                            <w:i/>
                            <w:iCs/>
                            <w:color w:val="0068AC"/>
                            <w:sz w:val="18"/>
                            <w:szCs w:val="18"/>
                            <w:lang w:val="en"/>
                          </w:rPr>
                          <w:t>the Act</w:t>
                        </w:r>
                      </w:hyperlink>
                      <w:r w:rsidRPr="001D7410">
                        <w:rPr>
                          <w:rFonts w:ascii="Helvetica" w:eastAsia="Times New Roman" w:hAnsi="Helvetica" w:cs="Helvetica"/>
                          <w:i/>
                          <w:iCs/>
                          <w:color w:val="000000"/>
                          <w:sz w:val="18"/>
                          <w:szCs w:val="18"/>
                          <w:lang w:val="en"/>
                        </w:rPr>
                        <w:t xml:space="preserve">, as implemented through this rule and the </w:t>
                      </w:r>
                      <w:hyperlink r:id="rId17" w:history="1">
                        <w:r w:rsidRPr="001D7410">
                          <w:rPr>
                            <w:rFonts w:ascii="Helvetica" w:eastAsia="Times New Roman" w:hAnsi="Helvetica" w:cs="Helvetica"/>
                            <w:i/>
                            <w:iCs/>
                            <w:color w:val="0068AC"/>
                            <w:sz w:val="18"/>
                            <w:szCs w:val="18"/>
                            <w:lang w:val="en"/>
                          </w:rPr>
                          <w:t>policies and procedures</w:t>
                        </w:r>
                      </w:hyperlink>
                    </w:p>
                  </w:txbxContent>
                </v:textbox>
                <w10:wrap type="square" anchorx="margin"/>
              </v:shape>
            </w:pict>
          </mc:Fallback>
        </mc:AlternateContent>
      </w:r>
      <w:r w:rsidR="004964F3" w:rsidRPr="000C485A">
        <w:rPr>
          <w:rFonts w:cstheme="minorHAnsi"/>
          <w:sz w:val="23"/>
          <w:szCs w:val="23"/>
        </w:rPr>
        <w:t>The California Association of Area Agencies on Aging (C4A) is the membership body representing a statewide network of Area Agencies on Aging (AAA) charged with providing services to over 8.82 million older adults throughout California.  Ombudsman</w:t>
      </w:r>
      <w:r w:rsidR="00445863">
        <w:rPr>
          <w:rFonts w:cstheme="minorHAnsi"/>
          <w:sz w:val="23"/>
          <w:szCs w:val="23"/>
        </w:rPr>
        <w:t xml:space="preserve"> is administered by the AAA  which</w:t>
      </w:r>
      <w:r w:rsidR="004964F3" w:rsidRPr="000C485A">
        <w:rPr>
          <w:rFonts w:cstheme="minorHAnsi"/>
          <w:sz w:val="23"/>
          <w:szCs w:val="23"/>
        </w:rPr>
        <w:t xml:space="preserve"> is responsible for fiscal and contract administration. Services may be provided by contractors implementing the program on behalf  of the AAA or as a direct service. </w:t>
      </w:r>
      <w:r w:rsidR="0092132E" w:rsidRPr="000C485A">
        <w:rPr>
          <w:rFonts w:cstheme="minorHAnsi"/>
          <w:sz w:val="23"/>
          <w:szCs w:val="23"/>
        </w:rPr>
        <w:t xml:space="preserve"> AAA must ensure that LTCOP allocations are expended to carry out the established activities of the local program. </w:t>
      </w:r>
      <w:r w:rsidR="004964F3" w:rsidRPr="000C485A">
        <w:rPr>
          <w:rFonts w:cstheme="minorHAnsi"/>
          <w:sz w:val="23"/>
          <w:szCs w:val="23"/>
        </w:rPr>
        <w:t xml:space="preserve"> </w:t>
      </w:r>
      <w:r w:rsidR="004964F3" w:rsidRPr="0018567F">
        <w:rPr>
          <w:rFonts w:cstheme="minorHAnsi"/>
          <w:sz w:val="23"/>
          <w:szCs w:val="23"/>
        </w:rPr>
        <w:t>Although services are contracted by the AAA</w:t>
      </w:r>
      <w:r w:rsidRPr="0018567F">
        <w:rPr>
          <w:rFonts w:cstheme="minorHAnsi"/>
          <w:sz w:val="23"/>
          <w:szCs w:val="23"/>
        </w:rPr>
        <w:t>, strict</w:t>
      </w:r>
      <w:r w:rsidR="00405C9B" w:rsidRPr="0018567F">
        <w:rPr>
          <w:rFonts w:cstheme="minorHAnsi"/>
          <w:sz w:val="23"/>
          <w:szCs w:val="23"/>
        </w:rPr>
        <w:t xml:space="preserve"> </w:t>
      </w:r>
      <w:r w:rsidR="00C52AB4" w:rsidRPr="0018567F">
        <w:rPr>
          <w:rFonts w:cstheme="minorHAnsi"/>
          <w:sz w:val="23"/>
          <w:szCs w:val="23"/>
        </w:rPr>
        <w:t>regulation</w:t>
      </w:r>
      <w:r w:rsidRPr="0018567F">
        <w:rPr>
          <w:rFonts w:cstheme="minorHAnsi"/>
          <w:sz w:val="23"/>
          <w:szCs w:val="23"/>
        </w:rPr>
        <w:t>s</w:t>
      </w:r>
      <w:r w:rsidR="00405C9B" w:rsidRPr="0018567F">
        <w:rPr>
          <w:rFonts w:cstheme="minorHAnsi"/>
          <w:sz w:val="23"/>
          <w:szCs w:val="23"/>
        </w:rPr>
        <w:t xml:space="preserve"> exist that </w:t>
      </w:r>
      <w:r w:rsidR="00445863">
        <w:rPr>
          <w:rFonts w:cstheme="minorHAnsi"/>
          <w:sz w:val="23"/>
          <w:szCs w:val="23"/>
        </w:rPr>
        <w:t>limit</w:t>
      </w:r>
      <w:r w:rsidR="004964F3" w:rsidRPr="0018567F">
        <w:rPr>
          <w:rFonts w:cstheme="minorHAnsi"/>
          <w:sz w:val="23"/>
          <w:szCs w:val="23"/>
        </w:rPr>
        <w:t xml:space="preserve"> i</w:t>
      </w:r>
      <w:r w:rsidR="00445863">
        <w:rPr>
          <w:rFonts w:cstheme="minorHAnsi"/>
          <w:sz w:val="23"/>
          <w:szCs w:val="23"/>
        </w:rPr>
        <w:t>nformation sharing and restrict</w:t>
      </w:r>
      <w:r w:rsidR="004964F3" w:rsidRPr="0018567F">
        <w:rPr>
          <w:rFonts w:cstheme="minorHAnsi"/>
          <w:sz w:val="23"/>
          <w:szCs w:val="23"/>
        </w:rPr>
        <w:t xml:space="preserve"> dat</w:t>
      </w:r>
      <w:r w:rsidR="00C52AB4" w:rsidRPr="0018567F">
        <w:rPr>
          <w:rFonts w:cstheme="minorHAnsi"/>
          <w:sz w:val="23"/>
          <w:szCs w:val="23"/>
        </w:rPr>
        <w:t>a</w:t>
      </w:r>
      <w:r w:rsidR="004964F3" w:rsidRPr="0018567F">
        <w:rPr>
          <w:rFonts w:cstheme="minorHAnsi"/>
          <w:sz w:val="23"/>
          <w:szCs w:val="23"/>
        </w:rPr>
        <w:t xml:space="preserve"> reporting to aggregate </w:t>
      </w:r>
      <w:r w:rsidR="00C52AB4" w:rsidRPr="0018567F">
        <w:rPr>
          <w:rFonts w:cstheme="minorHAnsi"/>
          <w:sz w:val="23"/>
          <w:szCs w:val="23"/>
        </w:rPr>
        <w:t>data only</w:t>
      </w:r>
      <w:r w:rsidR="004964F3" w:rsidRPr="0018567F">
        <w:rPr>
          <w:rFonts w:cstheme="minorHAnsi"/>
          <w:sz w:val="23"/>
          <w:szCs w:val="23"/>
        </w:rPr>
        <w:t>.  In addition, AAA is not privy to program details which</w:t>
      </w:r>
      <w:r w:rsidR="00C52AB4" w:rsidRPr="0018567F">
        <w:rPr>
          <w:rFonts w:cstheme="minorHAnsi"/>
          <w:sz w:val="23"/>
          <w:szCs w:val="23"/>
        </w:rPr>
        <w:t xml:space="preserve"> may</w:t>
      </w:r>
      <w:r w:rsidR="004964F3" w:rsidRPr="0018567F">
        <w:rPr>
          <w:rFonts w:cstheme="minorHAnsi"/>
          <w:sz w:val="23"/>
          <w:szCs w:val="23"/>
        </w:rPr>
        <w:t xml:space="preserve"> contribute to accountability </w:t>
      </w:r>
      <w:r w:rsidRPr="0018567F">
        <w:rPr>
          <w:rFonts w:cstheme="minorHAnsi"/>
          <w:sz w:val="23"/>
          <w:szCs w:val="23"/>
        </w:rPr>
        <w:t>issues between AAA and the LTCOP.</w:t>
      </w:r>
      <w:r w:rsidR="00A02589" w:rsidRPr="0018567F">
        <w:rPr>
          <w:rFonts w:cstheme="minorHAnsi"/>
          <w:sz w:val="23"/>
          <w:szCs w:val="23"/>
        </w:rPr>
        <w:t xml:space="preserve"> </w:t>
      </w:r>
    </w:p>
    <w:p w14:paraId="4FD13435" w14:textId="77777777" w:rsidR="007F7050" w:rsidRDefault="00C46A13" w:rsidP="00676070">
      <w:pPr>
        <w:spacing w:line="360" w:lineRule="auto"/>
        <w:rPr>
          <w:rFonts w:cstheme="minorHAnsi"/>
          <w:sz w:val="23"/>
          <w:szCs w:val="23"/>
        </w:rPr>
      </w:pPr>
      <w:r w:rsidRPr="000C485A">
        <w:rPr>
          <w:rFonts w:cstheme="minorHAnsi"/>
          <w:sz w:val="23"/>
          <w:szCs w:val="23"/>
        </w:rPr>
        <w:t xml:space="preserve"> </w:t>
      </w:r>
    </w:p>
    <w:p w14:paraId="70B9B0A8" w14:textId="77777777" w:rsidR="007F7050" w:rsidRDefault="007F7050" w:rsidP="00676070">
      <w:pPr>
        <w:spacing w:line="360" w:lineRule="auto"/>
        <w:rPr>
          <w:rFonts w:cstheme="minorHAnsi"/>
          <w:sz w:val="23"/>
          <w:szCs w:val="23"/>
        </w:rPr>
      </w:pPr>
    </w:p>
    <w:p w14:paraId="36B79D56" w14:textId="27CCA3EE" w:rsidR="000C3825" w:rsidRPr="00C54FE6" w:rsidRDefault="000C3825" w:rsidP="00676070">
      <w:pPr>
        <w:spacing w:line="360" w:lineRule="auto"/>
        <w:rPr>
          <w:rFonts w:cstheme="minorHAnsi"/>
          <w:sz w:val="24"/>
          <w:szCs w:val="24"/>
          <w:u w:val="single"/>
        </w:rPr>
      </w:pPr>
      <w:r w:rsidRPr="00C54FE6">
        <w:rPr>
          <w:rFonts w:cstheme="minorHAnsi"/>
          <w:b/>
          <w:bCs/>
          <w:sz w:val="24"/>
          <w:szCs w:val="24"/>
          <w:u w:val="single"/>
        </w:rPr>
        <w:lastRenderedPageBreak/>
        <w:t>IMPACT</w:t>
      </w:r>
      <w:r w:rsidR="00426A9F" w:rsidRPr="00C54FE6">
        <w:rPr>
          <w:rFonts w:cstheme="minorHAnsi"/>
          <w:b/>
          <w:bCs/>
          <w:sz w:val="24"/>
          <w:szCs w:val="24"/>
          <w:u w:val="single"/>
        </w:rPr>
        <w:t>:</w:t>
      </w:r>
    </w:p>
    <w:p w14:paraId="72954C28" w14:textId="01C67607" w:rsidR="000C3825" w:rsidRPr="00BC722D" w:rsidRDefault="00445863" w:rsidP="00676070">
      <w:pPr>
        <w:spacing w:line="360" w:lineRule="auto"/>
        <w:rPr>
          <w:rFonts w:cstheme="minorHAnsi"/>
          <w:b/>
          <w:bCs/>
          <w:i/>
          <w:iCs/>
          <w:sz w:val="23"/>
          <w:szCs w:val="23"/>
        </w:rPr>
      </w:pPr>
      <w:r>
        <w:rPr>
          <w:rFonts w:cstheme="minorHAnsi"/>
          <w:color w:val="212529"/>
          <w:sz w:val="23"/>
          <w:szCs w:val="23"/>
          <w:lang w:val="en"/>
        </w:rPr>
        <w:t>In March 2020, Governor Newsom</w:t>
      </w:r>
      <w:r w:rsidR="000C3825" w:rsidRPr="000C485A">
        <w:rPr>
          <w:rFonts w:cstheme="minorHAnsi"/>
          <w:color w:val="212529"/>
          <w:sz w:val="23"/>
          <w:szCs w:val="23"/>
          <w:lang w:val="en"/>
        </w:rPr>
        <w:t xml:space="preserve"> in consult with the </w:t>
      </w:r>
      <w:r w:rsidR="00AF633A">
        <w:rPr>
          <w:rFonts w:cstheme="minorHAnsi"/>
          <w:color w:val="212529"/>
          <w:sz w:val="23"/>
          <w:szCs w:val="23"/>
          <w:lang w:val="en"/>
        </w:rPr>
        <w:t xml:space="preserve">California </w:t>
      </w:r>
      <w:r w:rsidR="000C3825" w:rsidRPr="000C485A">
        <w:rPr>
          <w:rFonts w:cstheme="minorHAnsi"/>
          <w:color w:val="212529"/>
          <w:sz w:val="23"/>
          <w:szCs w:val="23"/>
          <w:lang w:val="en"/>
        </w:rPr>
        <w:t>Public Health officer</w:t>
      </w:r>
      <w:r w:rsidR="00707B69">
        <w:rPr>
          <w:rFonts w:cstheme="minorHAnsi"/>
          <w:color w:val="212529"/>
          <w:sz w:val="23"/>
          <w:szCs w:val="23"/>
          <w:lang w:val="en"/>
        </w:rPr>
        <w:t xml:space="preserve"> issued an Executive Order for </w:t>
      </w:r>
      <w:r w:rsidR="000C3825" w:rsidRPr="000C485A">
        <w:rPr>
          <w:rFonts w:cstheme="minorHAnsi"/>
          <w:color w:val="212529"/>
          <w:sz w:val="23"/>
          <w:szCs w:val="23"/>
          <w:lang w:val="en"/>
        </w:rPr>
        <w:t xml:space="preserve">the preservation of public health and safety throughout the entire State of California. </w:t>
      </w:r>
      <w:r w:rsidR="009D231C" w:rsidRPr="000C485A">
        <w:rPr>
          <w:rFonts w:cstheme="minorHAnsi"/>
          <w:sz w:val="23"/>
          <w:szCs w:val="23"/>
        </w:rPr>
        <w:t xml:space="preserve"> A </w:t>
      </w:r>
      <w:r w:rsidR="000C3825" w:rsidRPr="000C485A">
        <w:rPr>
          <w:rFonts w:cstheme="minorHAnsi"/>
          <w:sz w:val="23"/>
          <w:szCs w:val="23"/>
        </w:rPr>
        <w:t>special advisory</w:t>
      </w:r>
      <w:r w:rsidR="009D231C" w:rsidRPr="000C485A">
        <w:rPr>
          <w:rFonts w:cstheme="minorHAnsi"/>
          <w:sz w:val="23"/>
          <w:szCs w:val="23"/>
        </w:rPr>
        <w:t xml:space="preserve"> was</w:t>
      </w:r>
      <w:r w:rsidR="000C3825" w:rsidRPr="000C485A">
        <w:rPr>
          <w:rFonts w:cstheme="minorHAnsi"/>
          <w:sz w:val="23"/>
          <w:szCs w:val="23"/>
        </w:rPr>
        <w:t xml:space="preserve"> issued </w:t>
      </w:r>
      <w:r w:rsidR="009D231C" w:rsidRPr="000C485A">
        <w:rPr>
          <w:rFonts w:cstheme="minorHAnsi"/>
          <w:sz w:val="23"/>
          <w:szCs w:val="23"/>
        </w:rPr>
        <w:t>specifically to</w:t>
      </w:r>
      <w:r w:rsidR="000C3825" w:rsidRPr="000C485A">
        <w:rPr>
          <w:rFonts w:cstheme="minorHAnsi"/>
          <w:sz w:val="23"/>
          <w:szCs w:val="23"/>
        </w:rPr>
        <w:t xml:space="preserve"> older adults </w:t>
      </w:r>
      <w:r w:rsidR="009D231C" w:rsidRPr="000C485A">
        <w:rPr>
          <w:rFonts w:cstheme="minorHAnsi"/>
          <w:sz w:val="23"/>
          <w:szCs w:val="23"/>
        </w:rPr>
        <w:t xml:space="preserve">instructing </w:t>
      </w:r>
      <w:r w:rsidR="000C3825" w:rsidRPr="000C485A">
        <w:rPr>
          <w:rFonts w:cstheme="minorHAnsi"/>
          <w:sz w:val="23"/>
          <w:szCs w:val="23"/>
        </w:rPr>
        <w:t>them to Shelter in Place</w:t>
      </w:r>
      <w:r w:rsidR="00405C9B">
        <w:rPr>
          <w:rFonts w:cstheme="minorHAnsi"/>
          <w:sz w:val="23"/>
          <w:szCs w:val="23"/>
        </w:rPr>
        <w:t xml:space="preserve"> (SIP)</w:t>
      </w:r>
      <w:r w:rsidR="000C3825" w:rsidRPr="000C485A">
        <w:rPr>
          <w:rFonts w:cstheme="minorHAnsi"/>
          <w:sz w:val="23"/>
          <w:szCs w:val="23"/>
        </w:rPr>
        <w:t xml:space="preserve"> </w:t>
      </w:r>
      <w:r w:rsidR="009D231C" w:rsidRPr="000C485A">
        <w:rPr>
          <w:rFonts w:cstheme="minorHAnsi"/>
          <w:sz w:val="23"/>
          <w:szCs w:val="23"/>
        </w:rPr>
        <w:t>because they were identified as</w:t>
      </w:r>
      <w:r w:rsidR="000C3825" w:rsidRPr="000C485A">
        <w:rPr>
          <w:rFonts w:cstheme="minorHAnsi"/>
          <w:sz w:val="23"/>
          <w:szCs w:val="23"/>
        </w:rPr>
        <w:t xml:space="preserve"> vulnerab</w:t>
      </w:r>
      <w:r w:rsidR="009D231C" w:rsidRPr="000C485A">
        <w:rPr>
          <w:rFonts w:cstheme="minorHAnsi"/>
          <w:sz w:val="23"/>
          <w:szCs w:val="23"/>
        </w:rPr>
        <w:t xml:space="preserve">le and at </w:t>
      </w:r>
      <w:r w:rsidR="000C3825" w:rsidRPr="000C485A">
        <w:rPr>
          <w:rFonts w:cstheme="minorHAnsi"/>
          <w:sz w:val="23"/>
          <w:szCs w:val="23"/>
        </w:rPr>
        <w:t>high risk of death. The S</w:t>
      </w:r>
      <w:r w:rsidR="00405C9B">
        <w:rPr>
          <w:rFonts w:cstheme="minorHAnsi"/>
          <w:sz w:val="23"/>
          <w:szCs w:val="23"/>
        </w:rPr>
        <w:t>IP</w:t>
      </w:r>
      <w:r w:rsidR="000C3825" w:rsidRPr="000C485A">
        <w:rPr>
          <w:rFonts w:cstheme="minorHAnsi"/>
          <w:sz w:val="23"/>
          <w:szCs w:val="23"/>
        </w:rPr>
        <w:t xml:space="preserve"> advisory </w:t>
      </w:r>
      <w:r w:rsidR="00405C9B">
        <w:rPr>
          <w:rFonts w:cstheme="minorHAnsi"/>
          <w:sz w:val="23"/>
          <w:szCs w:val="23"/>
        </w:rPr>
        <w:t xml:space="preserve">immediately </w:t>
      </w:r>
      <w:r w:rsidR="000C3825" w:rsidRPr="000C485A">
        <w:rPr>
          <w:rFonts w:cstheme="minorHAnsi"/>
          <w:sz w:val="23"/>
          <w:szCs w:val="23"/>
        </w:rPr>
        <w:t xml:space="preserve">impacted Ombudsman LTCOP services because a major part of their workforce (volunteers) </w:t>
      </w:r>
      <w:r w:rsidR="00405C9B">
        <w:rPr>
          <w:rFonts w:cstheme="minorHAnsi"/>
          <w:sz w:val="23"/>
          <w:szCs w:val="23"/>
        </w:rPr>
        <w:t>were</w:t>
      </w:r>
      <w:r w:rsidR="00EB7503" w:rsidRPr="000C485A">
        <w:rPr>
          <w:rFonts w:cstheme="minorHAnsi"/>
          <w:sz w:val="23"/>
          <w:szCs w:val="23"/>
        </w:rPr>
        <w:t xml:space="preserve"> no longer available to </w:t>
      </w:r>
      <w:r w:rsidR="000C3825" w:rsidRPr="000C485A">
        <w:rPr>
          <w:rFonts w:cstheme="minorHAnsi"/>
          <w:sz w:val="23"/>
          <w:szCs w:val="23"/>
        </w:rPr>
        <w:t xml:space="preserve"> provide</w:t>
      </w:r>
      <w:r w:rsidR="00EB7503" w:rsidRPr="000C485A">
        <w:rPr>
          <w:rFonts w:cstheme="minorHAnsi"/>
          <w:sz w:val="23"/>
          <w:szCs w:val="23"/>
        </w:rPr>
        <w:t xml:space="preserve"> </w:t>
      </w:r>
      <w:r w:rsidR="000C3825" w:rsidRPr="000C485A">
        <w:rPr>
          <w:rFonts w:cstheme="minorHAnsi"/>
          <w:sz w:val="23"/>
          <w:szCs w:val="23"/>
        </w:rPr>
        <w:t xml:space="preserve">services. </w:t>
      </w:r>
      <w:r w:rsidR="000C3825" w:rsidRPr="00BC722D">
        <w:rPr>
          <w:rFonts w:cstheme="minorHAnsi"/>
          <w:b/>
          <w:bCs/>
          <w:i/>
          <w:iCs/>
          <w:sz w:val="23"/>
          <w:szCs w:val="23"/>
        </w:rPr>
        <w:t>The State Ombudsman, Joseph Rodriguez, reports a record high of volunteers resigning</w:t>
      </w:r>
      <w:r w:rsidR="00EB7503" w:rsidRPr="00BC722D">
        <w:rPr>
          <w:rFonts w:cstheme="minorHAnsi"/>
          <w:b/>
          <w:bCs/>
          <w:i/>
          <w:iCs/>
          <w:sz w:val="23"/>
          <w:szCs w:val="23"/>
        </w:rPr>
        <w:t xml:space="preserve"> and has resulted in a decline from 605 to 115 volunteers statewide. </w:t>
      </w:r>
      <w:r w:rsidR="000C3825" w:rsidRPr="00BC722D">
        <w:rPr>
          <w:rFonts w:cstheme="minorHAnsi"/>
          <w:b/>
          <w:bCs/>
          <w:i/>
          <w:iCs/>
          <w:sz w:val="23"/>
          <w:szCs w:val="23"/>
        </w:rPr>
        <w:t xml:space="preserve"> </w:t>
      </w:r>
    </w:p>
    <w:p w14:paraId="64978DB2" w14:textId="70FD752A" w:rsidR="000C3825" w:rsidRPr="00E118AF" w:rsidRDefault="00405C9B" w:rsidP="00676070">
      <w:pPr>
        <w:spacing w:line="360" w:lineRule="auto"/>
        <w:rPr>
          <w:rFonts w:cstheme="minorHAnsi"/>
          <w:i/>
          <w:iCs/>
          <w:sz w:val="23"/>
          <w:szCs w:val="23"/>
        </w:rPr>
      </w:pPr>
      <w:r w:rsidRPr="000C485A">
        <w:rPr>
          <w:rFonts w:cstheme="minorHAnsi"/>
          <w:noProof/>
          <w:sz w:val="23"/>
          <w:szCs w:val="23"/>
        </w:rPr>
        <mc:AlternateContent>
          <mc:Choice Requires="wps">
            <w:drawing>
              <wp:anchor distT="91440" distB="91440" distL="114300" distR="114300" simplePos="0" relativeHeight="251662336" behindDoc="0" locked="0" layoutInCell="1" allowOverlap="1" wp14:anchorId="01B3D4FB" wp14:editId="7F900E70">
                <wp:simplePos x="0" y="0"/>
                <wp:positionH relativeFrom="page">
                  <wp:posOffset>5029200</wp:posOffset>
                </wp:positionH>
                <wp:positionV relativeFrom="page">
                  <wp:posOffset>5667375</wp:posOffset>
                </wp:positionV>
                <wp:extent cx="1648460" cy="2409825"/>
                <wp:effectExtent l="0" t="0" r="0" b="0"/>
                <wp:wrapThrough wrapText="bothSides">
                  <wp:wrapPolygon edited="0">
                    <wp:start x="749" y="0"/>
                    <wp:lineTo x="749" y="21344"/>
                    <wp:lineTo x="20718" y="21344"/>
                    <wp:lineTo x="20718" y="0"/>
                    <wp:lineTo x="749"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2409825"/>
                        </a:xfrm>
                        <a:prstGeom prst="rect">
                          <a:avLst/>
                        </a:prstGeom>
                        <a:noFill/>
                        <a:ln w="9525">
                          <a:noFill/>
                          <a:miter lim="800000"/>
                          <a:headEnd/>
                          <a:tailEnd/>
                        </a:ln>
                      </wps:spPr>
                      <wps:txbx>
                        <w:txbxContent>
                          <w:p w14:paraId="4CB4CB5C" w14:textId="123B4555" w:rsidR="00E118AF" w:rsidRDefault="00E118AF">
                            <w:pPr>
                              <w:pBdr>
                                <w:top w:val="single" w:sz="24" w:space="8" w:color="4472C4" w:themeColor="accent1"/>
                                <w:bottom w:val="single" w:sz="24" w:space="8" w:color="4472C4" w:themeColor="accent1"/>
                              </w:pBdr>
                              <w:spacing w:after="0"/>
                              <w:rPr>
                                <w:rFonts w:ascii="Helvetica" w:hAnsi="Helvetica" w:cs="Helvetica"/>
                                <w:b/>
                                <w:bCs/>
                                <w:i/>
                                <w:iCs/>
                                <w:color w:val="000000"/>
                                <w:sz w:val="16"/>
                                <w:szCs w:val="16"/>
                                <w:lang w:val="en"/>
                              </w:rPr>
                            </w:pPr>
                            <w:r>
                              <w:rPr>
                                <w:rFonts w:ascii="Helvetica" w:hAnsi="Helvetica" w:cs="Helvetica"/>
                                <w:b/>
                                <w:bCs/>
                                <w:i/>
                                <w:iCs/>
                                <w:color w:val="000000"/>
                                <w:sz w:val="16"/>
                                <w:szCs w:val="16"/>
                                <w:lang w:val="en"/>
                              </w:rPr>
                              <w:t>Figure4:</w:t>
                            </w:r>
                          </w:p>
                          <w:p w14:paraId="06DF8661" w14:textId="77777777" w:rsidR="00E118AF" w:rsidRDefault="00E118AF">
                            <w:pPr>
                              <w:pBdr>
                                <w:top w:val="single" w:sz="24" w:space="8" w:color="4472C4" w:themeColor="accent1"/>
                                <w:bottom w:val="single" w:sz="24" w:space="8" w:color="4472C4" w:themeColor="accent1"/>
                              </w:pBdr>
                              <w:spacing w:after="0"/>
                              <w:rPr>
                                <w:rFonts w:ascii="Helvetica" w:hAnsi="Helvetica" w:cs="Helvetica"/>
                                <w:b/>
                                <w:bCs/>
                                <w:i/>
                                <w:iCs/>
                                <w:color w:val="000000"/>
                                <w:sz w:val="16"/>
                                <w:szCs w:val="16"/>
                                <w:lang w:val="en"/>
                              </w:rPr>
                            </w:pPr>
                          </w:p>
                          <w:p w14:paraId="298F45EC" w14:textId="5E5DE06A" w:rsidR="00405C9B" w:rsidRDefault="00EE7BB1">
                            <w:pPr>
                              <w:pBdr>
                                <w:top w:val="single" w:sz="24" w:space="8" w:color="4472C4" w:themeColor="accent1"/>
                                <w:bottom w:val="single" w:sz="24" w:space="8" w:color="4472C4" w:themeColor="accent1"/>
                              </w:pBdr>
                              <w:spacing w:after="0"/>
                              <w:rPr>
                                <w:rFonts w:ascii="Helvetica" w:hAnsi="Helvetica" w:cs="Helvetica"/>
                                <w:b/>
                                <w:bCs/>
                                <w:i/>
                                <w:iCs/>
                                <w:color w:val="000000"/>
                                <w:sz w:val="16"/>
                                <w:szCs w:val="16"/>
                                <w:lang w:val="en"/>
                              </w:rPr>
                            </w:pPr>
                            <w:r w:rsidRPr="00EE7BB1">
                              <w:rPr>
                                <w:rFonts w:ascii="Helvetica" w:hAnsi="Helvetica" w:cs="Helvetica"/>
                                <w:b/>
                                <w:bCs/>
                                <w:i/>
                                <w:iCs/>
                                <w:color w:val="000000"/>
                                <w:sz w:val="16"/>
                                <w:szCs w:val="16"/>
                                <w:lang w:val="en"/>
                              </w:rPr>
                              <w:t xml:space="preserve">the Ombudsman shall “Represent the interests of residents before governmental agencies, assure that </w:t>
                            </w:r>
                            <w:hyperlink r:id="rId18" w:history="1">
                              <w:r w:rsidRPr="00EE7BB1">
                                <w:rPr>
                                  <w:rFonts w:ascii="Helvetica" w:hAnsi="Helvetica" w:cs="Helvetica"/>
                                  <w:b/>
                                  <w:bCs/>
                                  <w:i/>
                                  <w:iCs/>
                                  <w:color w:val="0068AC"/>
                                  <w:sz w:val="16"/>
                                  <w:szCs w:val="16"/>
                                  <w:lang w:val="en"/>
                                </w:rPr>
                                <w:t>individual</w:t>
                              </w:r>
                            </w:hyperlink>
                            <w:r w:rsidRPr="00EE7BB1">
                              <w:rPr>
                                <w:rFonts w:ascii="Helvetica" w:hAnsi="Helvetica" w:cs="Helvetica"/>
                                <w:b/>
                                <w:bCs/>
                                <w:i/>
                                <w:iCs/>
                                <w:color w:val="000000"/>
                                <w:sz w:val="16"/>
                                <w:szCs w:val="16"/>
                                <w:lang w:val="en"/>
                              </w:rPr>
                              <w:t xml:space="preserve"> residents have access to, and pursue (as the Ombudsman determines as necessary and consistent with resident interests) administrative, legal, and other remedies to protect the health, safety, welfare, and rights of residents;”  </w:t>
                            </w:r>
                          </w:p>
                          <w:p w14:paraId="2FCF02C0" w14:textId="0CBC2976" w:rsidR="00EE7BB1" w:rsidRPr="00EE7BB1" w:rsidRDefault="00EE7BB1">
                            <w:pPr>
                              <w:pBdr>
                                <w:top w:val="single" w:sz="24" w:space="8" w:color="4472C4" w:themeColor="accent1"/>
                                <w:bottom w:val="single" w:sz="24" w:space="8" w:color="4472C4" w:themeColor="accent1"/>
                              </w:pBdr>
                              <w:spacing w:after="0"/>
                              <w:rPr>
                                <w:b/>
                                <w:bCs/>
                                <w:i/>
                                <w:iCs/>
                                <w:color w:val="4472C4" w:themeColor="accent1"/>
                                <w:sz w:val="16"/>
                                <w:szCs w:val="16"/>
                              </w:rPr>
                            </w:pPr>
                            <w:r w:rsidRPr="00EE7BB1">
                              <w:rPr>
                                <w:rFonts w:ascii="Helvetica" w:hAnsi="Helvetica" w:cs="Helvetica"/>
                                <w:b/>
                                <w:bCs/>
                                <w:i/>
                                <w:iCs/>
                                <w:color w:val="000000"/>
                                <w:sz w:val="16"/>
                                <w:szCs w:val="16"/>
                                <w:lang w:val="en"/>
                              </w:rPr>
                              <w:t>45 CFR Part 1324.13(a)(5)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3D4FB" id="_x0000_s1027" type="#_x0000_t202" style="position:absolute;margin-left:396pt;margin-top:446.25pt;width:129.8pt;height:189.7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" filled="f" stroked="f">
                <v:textbox>
                  <w:txbxContent>
                    <w:p w14:paraId="4CB4CB5C" w14:textId="123B4555" w:rsidR="00E118AF" w:rsidRDefault="00E118AF">
                      <w:pPr>
                        <w:pBdr>
                          <w:top w:val="single" w:sz="24" w:space="8" w:color="4472C4" w:themeColor="accent1"/>
                          <w:bottom w:val="single" w:sz="24" w:space="8" w:color="4472C4" w:themeColor="accent1"/>
                        </w:pBdr>
                        <w:spacing w:after="0"/>
                        <w:rPr>
                          <w:rFonts w:ascii="Helvetica" w:hAnsi="Helvetica" w:cs="Helvetica"/>
                          <w:b/>
                          <w:bCs/>
                          <w:i/>
                          <w:iCs/>
                          <w:color w:val="000000"/>
                          <w:sz w:val="16"/>
                          <w:szCs w:val="16"/>
                          <w:lang w:val="en"/>
                        </w:rPr>
                      </w:pPr>
                      <w:r>
                        <w:rPr>
                          <w:rFonts w:ascii="Helvetica" w:hAnsi="Helvetica" w:cs="Helvetica"/>
                          <w:b/>
                          <w:bCs/>
                          <w:i/>
                          <w:iCs/>
                          <w:color w:val="000000"/>
                          <w:sz w:val="16"/>
                          <w:szCs w:val="16"/>
                          <w:lang w:val="en"/>
                        </w:rPr>
                        <w:t>Figure4:</w:t>
                      </w:r>
                    </w:p>
                    <w:p w14:paraId="06DF8661" w14:textId="77777777" w:rsidR="00E118AF" w:rsidRDefault="00E118AF">
                      <w:pPr>
                        <w:pBdr>
                          <w:top w:val="single" w:sz="24" w:space="8" w:color="4472C4" w:themeColor="accent1"/>
                          <w:bottom w:val="single" w:sz="24" w:space="8" w:color="4472C4" w:themeColor="accent1"/>
                        </w:pBdr>
                        <w:spacing w:after="0"/>
                        <w:rPr>
                          <w:rFonts w:ascii="Helvetica" w:hAnsi="Helvetica" w:cs="Helvetica"/>
                          <w:b/>
                          <w:bCs/>
                          <w:i/>
                          <w:iCs/>
                          <w:color w:val="000000"/>
                          <w:sz w:val="16"/>
                          <w:szCs w:val="16"/>
                          <w:lang w:val="en"/>
                        </w:rPr>
                      </w:pPr>
                    </w:p>
                    <w:p w14:paraId="298F45EC" w14:textId="5E5DE06A" w:rsidR="00405C9B" w:rsidRDefault="00EE7BB1">
                      <w:pPr>
                        <w:pBdr>
                          <w:top w:val="single" w:sz="24" w:space="8" w:color="4472C4" w:themeColor="accent1"/>
                          <w:bottom w:val="single" w:sz="24" w:space="8" w:color="4472C4" w:themeColor="accent1"/>
                        </w:pBdr>
                        <w:spacing w:after="0"/>
                        <w:rPr>
                          <w:rFonts w:ascii="Helvetica" w:hAnsi="Helvetica" w:cs="Helvetica"/>
                          <w:b/>
                          <w:bCs/>
                          <w:i/>
                          <w:iCs/>
                          <w:color w:val="000000"/>
                          <w:sz w:val="16"/>
                          <w:szCs w:val="16"/>
                          <w:lang w:val="en"/>
                        </w:rPr>
                      </w:pPr>
                      <w:r w:rsidRPr="00EE7BB1">
                        <w:rPr>
                          <w:rFonts w:ascii="Helvetica" w:hAnsi="Helvetica" w:cs="Helvetica"/>
                          <w:b/>
                          <w:bCs/>
                          <w:i/>
                          <w:iCs/>
                          <w:color w:val="000000"/>
                          <w:sz w:val="16"/>
                          <w:szCs w:val="16"/>
                          <w:lang w:val="en"/>
                        </w:rPr>
                        <w:t xml:space="preserve">the Ombudsman shall “Represent the interests of residents before governmental agencies, assure that </w:t>
                      </w:r>
                      <w:hyperlink r:id="rId19" w:history="1">
                        <w:r w:rsidRPr="00EE7BB1">
                          <w:rPr>
                            <w:rFonts w:ascii="Helvetica" w:hAnsi="Helvetica" w:cs="Helvetica"/>
                            <w:b/>
                            <w:bCs/>
                            <w:i/>
                            <w:iCs/>
                            <w:color w:val="0068AC"/>
                            <w:sz w:val="16"/>
                            <w:szCs w:val="16"/>
                            <w:lang w:val="en"/>
                          </w:rPr>
                          <w:t>individual</w:t>
                        </w:r>
                      </w:hyperlink>
                      <w:r w:rsidRPr="00EE7BB1">
                        <w:rPr>
                          <w:rFonts w:ascii="Helvetica" w:hAnsi="Helvetica" w:cs="Helvetica"/>
                          <w:b/>
                          <w:bCs/>
                          <w:i/>
                          <w:iCs/>
                          <w:color w:val="000000"/>
                          <w:sz w:val="16"/>
                          <w:szCs w:val="16"/>
                          <w:lang w:val="en"/>
                        </w:rPr>
                        <w:t xml:space="preserve"> residents have access to, and pursue (as the Ombudsman determines as necessary and consistent with resident interests) administrative, legal, and other remedies to protect the health, safety, welfare, and rights of residents;”  </w:t>
                      </w:r>
                    </w:p>
                    <w:p w14:paraId="2FCF02C0" w14:textId="0CBC2976" w:rsidR="00EE7BB1" w:rsidRPr="00EE7BB1" w:rsidRDefault="00EE7BB1">
                      <w:pPr>
                        <w:pBdr>
                          <w:top w:val="single" w:sz="24" w:space="8" w:color="4472C4" w:themeColor="accent1"/>
                          <w:bottom w:val="single" w:sz="24" w:space="8" w:color="4472C4" w:themeColor="accent1"/>
                        </w:pBdr>
                        <w:spacing w:after="0"/>
                        <w:rPr>
                          <w:b/>
                          <w:bCs/>
                          <w:i/>
                          <w:iCs/>
                          <w:color w:val="4472C4" w:themeColor="accent1"/>
                          <w:sz w:val="16"/>
                          <w:szCs w:val="16"/>
                        </w:rPr>
                      </w:pPr>
                      <w:r w:rsidRPr="00EE7BB1">
                        <w:rPr>
                          <w:rFonts w:ascii="Helvetica" w:hAnsi="Helvetica" w:cs="Helvetica"/>
                          <w:b/>
                          <w:bCs/>
                          <w:i/>
                          <w:iCs/>
                          <w:color w:val="000000"/>
                          <w:sz w:val="16"/>
                          <w:szCs w:val="16"/>
                          <w:lang w:val="en"/>
                        </w:rPr>
                        <w:t>45 CFR Part 1324.13(a)(5)</w:t>
                      </w:r>
                    </w:p>
                  </w:txbxContent>
                </v:textbox>
                <w10:wrap type="through" anchorx="page" anchory="page"/>
              </v:shape>
            </w:pict>
          </mc:Fallback>
        </mc:AlternateContent>
      </w:r>
      <w:r w:rsidR="000C3825" w:rsidRPr="000C485A">
        <w:rPr>
          <w:rFonts w:cstheme="minorHAnsi"/>
          <w:noProof/>
          <w:sz w:val="23"/>
          <w:szCs w:val="23"/>
        </w:rPr>
        <w:drawing>
          <wp:anchor distT="0" distB="0" distL="114300" distR="114300" simplePos="0" relativeHeight="251657216" behindDoc="0" locked="0" layoutInCell="1" allowOverlap="1" wp14:anchorId="5BEE7850" wp14:editId="5BEB26BB">
            <wp:simplePos x="0" y="0"/>
            <wp:positionH relativeFrom="column">
              <wp:posOffset>7032625</wp:posOffset>
            </wp:positionH>
            <wp:positionV relativeFrom="paragraph">
              <wp:posOffset>536575</wp:posOffset>
            </wp:positionV>
            <wp:extent cx="2602865" cy="1889760"/>
            <wp:effectExtent l="0" t="0" r="6985" b="1524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0C3825" w:rsidRPr="000C485A">
        <w:rPr>
          <w:rFonts w:cstheme="minorHAnsi"/>
          <w:sz w:val="23"/>
          <w:szCs w:val="23"/>
        </w:rPr>
        <w:t>Ombudsman</w:t>
      </w:r>
      <w:r w:rsidR="00707B69">
        <w:rPr>
          <w:rFonts w:cstheme="minorHAnsi"/>
          <w:sz w:val="23"/>
          <w:szCs w:val="23"/>
        </w:rPr>
        <w:t>’s</w:t>
      </w:r>
      <w:r w:rsidR="000C3825" w:rsidRPr="000C485A">
        <w:rPr>
          <w:rFonts w:cstheme="minorHAnsi"/>
          <w:sz w:val="23"/>
          <w:szCs w:val="23"/>
        </w:rPr>
        <w:t xml:space="preserve"> primary r</w:t>
      </w:r>
      <w:r w:rsidR="00707B69">
        <w:rPr>
          <w:rFonts w:cstheme="minorHAnsi"/>
          <w:sz w:val="23"/>
          <w:szCs w:val="23"/>
        </w:rPr>
        <w:t>ole is to advocate for resident</w:t>
      </w:r>
      <w:r w:rsidR="000C3825" w:rsidRPr="000C485A">
        <w:rPr>
          <w:rFonts w:cstheme="minorHAnsi"/>
          <w:sz w:val="23"/>
          <w:szCs w:val="23"/>
        </w:rPr>
        <w:t>s</w:t>
      </w:r>
      <w:r w:rsidR="00707B69">
        <w:rPr>
          <w:rFonts w:cstheme="minorHAnsi"/>
          <w:sz w:val="23"/>
          <w:szCs w:val="23"/>
        </w:rPr>
        <w:t>’</w:t>
      </w:r>
      <w:r w:rsidR="000C3825" w:rsidRPr="000C485A">
        <w:rPr>
          <w:rFonts w:cstheme="minorHAnsi"/>
          <w:sz w:val="23"/>
          <w:szCs w:val="23"/>
        </w:rPr>
        <w:t xml:space="preserve"> rights and to respond and elevate c</w:t>
      </w:r>
      <w:r w:rsidR="00707B69">
        <w:rPr>
          <w:rFonts w:cstheme="minorHAnsi"/>
          <w:sz w:val="23"/>
          <w:szCs w:val="23"/>
        </w:rPr>
        <w:t>omplaints of abuse and neglect</w:t>
      </w:r>
      <w:r w:rsidR="000C3825" w:rsidRPr="000C485A">
        <w:rPr>
          <w:rFonts w:cstheme="minorHAnsi"/>
          <w:sz w:val="23"/>
          <w:szCs w:val="23"/>
        </w:rPr>
        <w:t xml:space="preserve"> to licensing and state agencies that regulate</w:t>
      </w:r>
      <w:r>
        <w:rPr>
          <w:rFonts w:cstheme="minorHAnsi"/>
          <w:sz w:val="23"/>
          <w:szCs w:val="23"/>
        </w:rPr>
        <w:t xml:space="preserve"> Long-Term Care Facilities (</w:t>
      </w:r>
      <w:r w:rsidR="000C3825" w:rsidRPr="000C485A">
        <w:rPr>
          <w:rFonts w:cstheme="minorHAnsi"/>
          <w:sz w:val="23"/>
          <w:szCs w:val="23"/>
        </w:rPr>
        <w:t>LTCF</w:t>
      </w:r>
      <w:r>
        <w:rPr>
          <w:rFonts w:cstheme="minorHAnsi"/>
          <w:sz w:val="23"/>
          <w:szCs w:val="23"/>
        </w:rPr>
        <w:t>)</w:t>
      </w:r>
      <w:r w:rsidR="000C3825" w:rsidRPr="000C485A">
        <w:rPr>
          <w:rFonts w:cstheme="minorHAnsi"/>
          <w:sz w:val="23"/>
          <w:szCs w:val="23"/>
        </w:rPr>
        <w:t xml:space="preserve">. </w:t>
      </w:r>
      <w:r w:rsidR="00AC1193">
        <w:rPr>
          <w:rFonts w:cstheme="minorHAnsi"/>
          <w:sz w:val="23"/>
          <w:szCs w:val="23"/>
        </w:rPr>
        <w:t xml:space="preserve">In addition, </w:t>
      </w:r>
      <w:r w:rsidR="00707B69">
        <w:rPr>
          <w:rFonts w:cstheme="minorHAnsi"/>
          <w:sz w:val="23"/>
          <w:szCs w:val="23"/>
        </w:rPr>
        <w:t>Ombudsmen are</w:t>
      </w:r>
      <w:r w:rsidR="00AC1193">
        <w:rPr>
          <w:rFonts w:cstheme="minorHAnsi"/>
          <w:sz w:val="23"/>
          <w:szCs w:val="23"/>
        </w:rPr>
        <w:t xml:space="preserve"> encouraged to address and </w:t>
      </w:r>
      <w:r w:rsidR="00707B69">
        <w:rPr>
          <w:rFonts w:cstheme="minorHAnsi"/>
          <w:sz w:val="23"/>
          <w:szCs w:val="23"/>
        </w:rPr>
        <w:t>attempt to rectify broa</w:t>
      </w:r>
      <w:r w:rsidR="00AC1193">
        <w:rPr>
          <w:rFonts w:cstheme="minorHAnsi"/>
          <w:sz w:val="23"/>
          <w:szCs w:val="23"/>
        </w:rPr>
        <w:t xml:space="preserve">der or </w:t>
      </w:r>
      <w:r w:rsidR="00707B69">
        <w:rPr>
          <w:rFonts w:cstheme="minorHAnsi"/>
          <w:sz w:val="23"/>
          <w:szCs w:val="23"/>
        </w:rPr>
        <w:t>underlying causes</w:t>
      </w:r>
      <w:r w:rsidR="00AC1193">
        <w:rPr>
          <w:rFonts w:cstheme="minorHAnsi"/>
          <w:sz w:val="23"/>
          <w:szCs w:val="23"/>
        </w:rPr>
        <w:t xml:space="preserve"> of problems </w:t>
      </w:r>
      <w:r w:rsidR="00E118AF">
        <w:rPr>
          <w:rFonts w:cstheme="minorHAnsi"/>
          <w:sz w:val="23"/>
          <w:szCs w:val="23"/>
        </w:rPr>
        <w:t xml:space="preserve">experienced by </w:t>
      </w:r>
      <w:r w:rsidR="00AC1193">
        <w:rPr>
          <w:rFonts w:cstheme="minorHAnsi"/>
          <w:sz w:val="23"/>
          <w:szCs w:val="23"/>
        </w:rPr>
        <w:t>LTC</w:t>
      </w:r>
      <w:r w:rsidR="00E118AF">
        <w:rPr>
          <w:rFonts w:cstheme="minorHAnsi"/>
          <w:sz w:val="23"/>
          <w:szCs w:val="23"/>
        </w:rPr>
        <w:t>F residents through advocacy and policy change.</w:t>
      </w:r>
      <w:r w:rsidR="00AC1193">
        <w:rPr>
          <w:rFonts w:cstheme="minorHAnsi"/>
          <w:sz w:val="23"/>
          <w:szCs w:val="23"/>
        </w:rPr>
        <w:t xml:space="preserve"> </w:t>
      </w:r>
      <w:r w:rsidR="000C3825" w:rsidRPr="000C485A">
        <w:rPr>
          <w:rFonts w:cstheme="minorHAnsi"/>
          <w:sz w:val="23"/>
          <w:szCs w:val="23"/>
        </w:rPr>
        <w:t xml:space="preserve">Their visibility in facilities </w:t>
      </w:r>
      <w:r w:rsidR="00E118AF">
        <w:rPr>
          <w:rFonts w:cstheme="minorHAnsi"/>
          <w:sz w:val="23"/>
          <w:szCs w:val="23"/>
        </w:rPr>
        <w:t xml:space="preserve">adds an additional layer of quality assurance </w:t>
      </w:r>
      <w:r w:rsidR="000C3825" w:rsidRPr="000C485A">
        <w:rPr>
          <w:rFonts w:cstheme="minorHAnsi"/>
          <w:sz w:val="23"/>
          <w:szCs w:val="23"/>
        </w:rPr>
        <w:t>in residents</w:t>
      </w:r>
      <w:r w:rsidR="00707B69">
        <w:rPr>
          <w:rFonts w:cstheme="minorHAnsi"/>
          <w:sz w:val="23"/>
          <w:szCs w:val="23"/>
        </w:rPr>
        <w:t>’</w:t>
      </w:r>
      <w:r w:rsidR="000C3825" w:rsidRPr="000C485A">
        <w:rPr>
          <w:rFonts w:cstheme="minorHAnsi"/>
          <w:sz w:val="23"/>
          <w:szCs w:val="23"/>
        </w:rPr>
        <w:t xml:space="preserve"> level of care.  </w:t>
      </w:r>
      <w:r w:rsidR="000C3825" w:rsidRPr="00E118AF">
        <w:rPr>
          <w:rFonts w:cstheme="minorHAnsi"/>
          <w:b/>
          <w:bCs/>
          <w:i/>
          <w:iCs/>
          <w:sz w:val="23"/>
          <w:szCs w:val="23"/>
        </w:rPr>
        <w:t>The pandemic</w:t>
      </w:r>
      <w:r w:rsidR="001D02A8" w:rsidRPr="00E118AF">
        <w:rPr>
          <w:rFonts w:cstheme="minorHAnsi"/>
          <w:b/>
          <w:bCs/>
          <w:i/>
          <w:iCs/>
          <w:sz w:val="23"/>
          <w:szCs w:val="23"/>
        </w:rPr>
        <w:t xml:space="preserve"> along with the decision to deem</w:t>
      </w:r>
      <w:r w:rsidR="00292D8F" w:rsidRPr="00E118AF">
        <w:rPr>
          <w:rFonts w:cstheme="minorHAnsi"/>
          <w:b/>
          <w:bCs/>
          <w:i/>
          <w:iCs/>
          <w:sz w:val="23"/>
          <w:szCs w:val="23"/>
        </w:rPr>
        <w:t xml:space="preserve"> </w:t>
      </w:r>
      <w:r w:rsidR="001D02A8" w:rsidRPr="00E118AF">
        <w:rPr>
          <w:rFonts w:cstheme="minorHAnsi"/>
          <w:b/>
          <w:bCs/>
          <w:i/>
          <w:iCs/>
          <w:sz w:val="23"/>
          <w:szCs w:val="23"/>
        </w:rPr>
        <w:t>Ombudsman as “non-essential</w:t>
      </w:r>
      <w:r w:rsidR="00292D8F" w:rsidRPr="00E118AF">
        <w:rPr>
          <w:rFonts w:cstheme="minorHAnsi"/>
          <w:b/>
          <w:bCs/>
          <w:i/>
          <w:iCs/>
          <w:sz w:val="23"/>
          <w:szCs w:val="23"/>
        </w:rPr>
        <w:t xml:space="preserve"> workers</w:t>
      </w:r>
      <w:r w:rsidR="001D02A8" w:rsidRPr="00E118AF">
        <w:rPr>
          <w:rFonts w:cstheme="minorHAnsi"/>
          <w:b/>
          <w:bCs/>
          <w:i/>
          <w:iCs/>
          <w:sz w:val="23"/>
          <w:szCs w:val="23"/>
        </w:rPr>
        <w:t xml:space="preserve">” </w:t>
      </w:r>
      <w:r w:rsidR="000C3825" w:rsidRPr="00E118AF">
        <w:rPr>
          <w:rFonts w:cstheme="minorHAnsi"/>
          <w:b/>
          <w:bCs/>
          <w:i/>
          <w:iCs/>
          <w:sz w:val="23"/>
          <w:szCs w:val="23"/>
        </w:rPr>
        <w:t xml:space="preserve"> has </w:t>
      </w:r>
      <w:r w:rsidR="007F7050" w:rsidRPr="00E118AF">
        <w:rPr>
          <w:rFonts w:cstheme="minorHAnsi"/>
          <w:b/>
          <w:bCs/>
          <w:i/>
          <w:iCs/>
          <w:sz w:val="23"/>
          <w:szCs w:val="23"/>
        </w:rPr>
        <w:t>limited</w:t>
      </w:r>
      <w:r w:rsidR="000C3825" w:rsidRPr="00E118AF">
        <w:rPr>
          <w:rFonts w:cstheme="minorHAnsi"/>
          <w:b/>
          <w:bCs/>
          <w:i/>
          <w:iCs/>
          <w:sz w:val="23"/>
          <w:szCs w:val="23"/>
        </w:rPr>
        <w:t xml:space="preserve"> </w:t>
      </w:r>
      <w:r w:rsidR="001D02A8" w:rsidRPr="00E118AF">
        <w:rPr>
          <w:rFonts w:cstheme="minorHAnsi"/>
          <w:b/>
          <w:bCs/>
          <w:i/>
          <w:iCs/>
          <w:sz w:val="23"/>
          <w:szCs w:val="23"/>
        </w:rPr>
        <w:t xml:space="preserve">their </w:t>
      </w:r>
      <w:r w:rsidR="000C3825" w:rsidRPr="00E118AF">
        <w:rPr>
          <w:rFonts w:cstheme="minorHAnsi"/>
          <w:b/>
          <w:bCs/>
          <w:i/>
          <w:iCs/>
          <w:sz w:val="23"/>
          <w:szCs w:val="23"/>
        </w:rPr>
        <w:t>ability to provide oversight</w:t>
      </w:r>
      <w:r w:rsidR="001D02A8" w:rsidRPr="00E118AF">
        <w:rPr>
          <w:rFonts w:cstheme="minorHAnsi"/>
          <w:b/>
          <w:bCs/>
          <w:i/>
          <w:iCs/>
          <w:sz w:val="23"/>
          <w:szCs w:val="23"/>
        </w:rPr>
        <w:t xml:space="preserve"> of care and rights….this issue</w:t>
      </w:r>
      <w:r w:rsidR="000C3825" w:rsidRPr="00E118AF">
        <w:rPr>
          <w:rFonts w:cstheme="minorHAnsi"/>
          <w:b/>
          <w:bCs/>
          <w:i/>
          <w:iCs/>
          <w:sz w:val="23"/>
          <w:szCs w:val="23"/>
        </w:rPr>
        <w:t xml:space="preserve"> is </w:t>
      </w:r>
      <w:r w:rsidR="001D02A8" w:rsidRPr="00E118AF">
        <w:rPr>
          <w:rFonts w:cstheme="minorHAnsi"/>
          <w:b/>
          <w:bCs/>
          <w:i/>
          <w:iCs/>
          <w:sz w:val="23"/>
          <w:szCs w:val="23"/>
        </w:rPr>
        <w:t xml:space="preserve">very </w:t>
      </w:r>
      <w:r w:rsidR="000C3825" w:rsidRPr="00E118AF">
        <w:rPr>
          <w:rFonts w:cstheme="minorHAnsi"/>
          <w:b/>
          <w:bCs/>
          <w:i/>
          <w:iCs/>
          <w:sz w:val="23"/>
          <w:szCs w:val="23"/>
        </w:rPr>
        <w:t>alarming</w:t>
      </w:r>
      <w:r w:rsidR="001D02A8" w:rsidRPr="00E118AF">
        <w:rPr>
          <w:rFonts w:cstheme="minorHAnsi"/>
          <w:b/>
          <w:bCs/>
          <w:i/>
          <w:iCs/>
          <w:sz w:val="23"/>
          <w:szCs w:val="23"/>
        </w:rPr>
        <w:t xml:space="preserve"> and</w:t>
      </w:r>
      <w:r w:rsidR="007F7050" w:rsidRPr="00E118AF">
        <w:rPr>
          <w:rFonts w:cstheme="minorHAnsi"/>
          <w:b/>
          <w:bCs/>
          <w:i/>
          <w:iCs/>
          <w:sz w:val="23"/>
          <w:szCs w:val="23"/>
        </w:rPr>
        <w:t xml:space="preserve">  may have </w:t>
      </w:r>
      <w:r w:rsidR="001D02A8" w:rsidRPr="00E118AF">
        <w:rPr>
          <w:rFonts w:cstheme="minorHAnsi"/>
          <w:b/>
          <w:bCs/>
          <w:i/>
          <w:iCs/>
          <w:sz w:val="23"/>
          <w:szCs w:val="23"/>
        </w:rPr>
        <w:t>contributed to:</w:t>
      </w:r>
      <w:r w:rsidR="000C3825" w:rsidRPr="00E118AF">
        <w:rPr>
          <w:rFonts w:cstheme="minorHAnsi"/>
          <w:i/>
          <w:iCs/>
          <w:sz w:val="23"/>
          <w:szCs w:val="23"/>
        </w:rPr>
        <w:t xml:space="preserve">  </w:t>
      </w:r>
    </w:p>
    <w:p w14:paraId="2523C68C" w14:textId="18219750" w:rsidR="000C3825" w:rsidRPr="000C485A" w:rsidRDefault="000C3825" w:rsidP="00676070">
      <w:pPr>
        <w:pStyle w:val="ListParagraph"/>
        <w:numPr>
          <w:ilvl w:val="0"/>
          <w:numId w:val="1"/>
        </w:numPr>
        <w:spacing w:line="360" w:lineRule="auto"/>
        <w:rPr>
          <w:rFonts w:asciiTheme="minorHAnsi" w:hAnsiTheme="minorHAnsi" w:cstheme="minorHAnsi"/>
          <w:sz w:val="23"/>
          <w:szCs w:val="23"/>
        </w:rPr>
      </w:pPr>
      <w:r w:rsidRPr="000C485A">
        <w:rPr>
          <w:rFonts w:asciiTheme="minorHAnsi" w:hAnsiTheme="minorHAnsi" w:cstheme="minorHAnsi"/>
          <w:sz w:val="23"/>
          <w:szCs w:val="23"/>
        </w:rPr>
        <w:t xml:space="preserve"> </w:t>
      </w:r>
      <w:r w:rsidR="00707B69">
        <w:rPr>
          <w:rFonts w:asciiTheme="minorHAnsi" w:hAnsiTheme="minorHAnsi" w:cstheme="minorHAnsi"/>
          <w:sz w:val="23"/>
          <w:szCs w:val="23"/>
        </w:rPr>
        <w:t>Resident</w:t>
      </w:r>
      <w:r w:rsidR="00676070" w:rsidRPr="000C485A">
        <w:rPr>
          <w:rFonts w:asciiTheme="minorHAnsi" w:hAnsiTheme="minorHAnsi" w:cstheme="minorHAnsi"/>
          <w:sz w:val="23"/>
          <w:szCs w:val="23"/>
        </w:rPr>
        <w:t>s</w:t>
      </w:r>
      <w:r w:rsidR="00707B69">
        <w:rPr>
          <w:rFonts w:asciiTheme="minorHAnsi" w:hAnsiTheme="minorHAnsi" w:cstheme="minorHAnsi"/>
          <w:sz w:val="23"/>
          <w:szCs w:val="23"/>
        </w:rPr>
        <w:t>’</w:t>
      </w:r>
      <w:r w:rsidR="00676070" w:rsidRPr="000C485A">
        <w:rPr>
          <w:rFonts w:asciiTheme="minorHAnsi" w:hAnsiTheme="minorHAnsi" w:cstheme="minorHAnsi"/>
          <w:sz w:val="23"/>
          <w:szCs w:val="23"/>
        </w:rPr>
        <w:t xml:space="preserve"> </w:t>
      </w:r>
      <w:r w:rsidRPr="000C485A">
        <w:rPr>
          <w:rFonts w:asciiTheme="minorHAnsi" w:hAnsiTheme="minorHAnsi" w:cstheme="minorHAnsi"/>
          <w:sz w:val="23"/>
          <w:szCs w:val="23"/>
        </w:rPr>
        <w:t xml:space="preserve">Rights </w:t>
      </w:r>
      <w:r w:rsidR="001D02A8" w:rsidRPr="000C485A">
        <w:rPr>
          <w:rFonts w:asciiTheme="minorHAnsi" w:hAnsiTheme="minorHAnsi" w:cstheme="minorHAnsi"/>
          <w:sz w:val="23"/>
          <w:szCs w:val="23"/>
        </w:rPr>
        <w:t>being</w:t>
      </w:r>
      <w:r w:rsidRPr="000C485A">
        <w:rPr>
          <w:rFonts w:asciiTheme="minorHAnsi" w:hAnsiTheme="minorHAnsi" w:cstheme="minorHAnsi"/>
          <w:sz w:val="23"/>
          <w:szCs w:val="23"/>
        </w:rPr>
        <w:t xml:space="preserve"> impacted</w:t>
      </w:r>
    </w:p>
    <w:p w14:paraId="6884BD60" w14:textId="5BB6A0AB" w:rsidR="000C3825" w:rsidRPr="000C485A" w:rsidRDefault="000C3825" w:rsidP="00676070">
      <w:pPr>
        <w:pStyle w:val="ListParagraph"/>
        <w:numPr>
          <w:ilvl w:val="0"/>
          <w:numId w:val="1"/>
        </w:numPr>
        <w:spacing w:line="360" w:lineRule="auto"/>
        <w:rPr>
          <w:rFonts w:asciiTheme="minorHAnsi" w:hAnsiTheme="minorHAnsi" w:cstheme="minorHAnsi"/>
          <w:sz w:val="23"/>
          <w:szCs w:val="23"/>
        </w:rPr>
      </w:pPr>
      <w:r w:rsidRPr="000C485A">
        <w:rPr>
          <w:rFonts w:asciiTheme="minorHAnsi" w:hAnsiTheme="minorHAnsi" w:cstheme="minorHAnsi"/>
          <w:sz w:val="23"/>
          <w:szCs w:val="23"/>
        </w:rPr>
        <w:t>Social Engagement drastically decreased, increasing social isolation</w:t>
      </w:r>
      <w:r w:rsidR="001D02A8" w:rsidRPr="000C485A">
        <w:rPr>
          <w:rFonts w:asciiTheme="minorHAnsi" w:hAnsiTheme="minorHAnsi" w:cstheme="minorHAnsi"/>
          <w:sz w:val="23"/>
          <w:szCs w:val="23"/>
        </w:rPr>
        <w:t xml:space="preserve"> </w:t>
      </w:r>
    </w:p>
    <w:p w14:paraId="2BA328DB" w14:textId="6F37CC8E" w:rsidR="001D02A8" w:rsidRDefault="001D02A8" w:rsidP="001D02A8">
      <w:pPr>
        <w:pStyle w:val="ListParagraph"/>
        <w:numPr>
          <w:ilvl w:val="0"/>
          <w:numId w:val="1"/>
        </w:numPr>
        <w:spacing w:line="360" w:lineRule="auto"/>
        <w:rPr>
          <w:rFonts w:asciiTheme="minorHAnsi" w:hAnsiTheme="minorHAnsi" w:cstheme="minorHAnsi"/>
          <w:sz w:val="23"/>
          <w:szCs w:val="23"/>
        </w:rPr>
      </w:pPr>
      <w:r w:rsidRPr="000C485A">
        <w:rPr>
          <w:rFonts w:asciiTheme="minorHAnsi" w:hAnsiTheme="minorHAnsi" w:cstheme="minorHAnsi"/>
          <w:sz w:val="23"/>
          <w:szCs w:val="23"/>
        </w:rPr>
        <w:t xml:space="preserve">Primary </w:t>
      </w:r>
      <w:r w:rsidR="007F7050">
        <w:rPr>
          <w:rFonts w:asciiTheme="minorHAnsi" w:hAnsiTheme="minorHAnsi" w:cstheme="minorHAnsi"/>
          <w:sz w:val="23"/>
          <w:szCs w:val="23"/>
        </w:rPr>
        <w:t>f</w:t>
      </w:r>
      <w:r w:rsidRPr="000C485A">
        <w:rPr>
          <w:rFonts w:asciiTheme="minorHAnsi" w:hAnsiTheme="minorHAnsi" w:cstheme="minorHAnsi"/>
          <w:sz w:val="23"/>
          <w:szCs w:val="23"/>
        </w:rPr>
        <w:t>ocus on healthcare issues, although COVID-19 positive patients were discharged to SNFs</w:t>
      </w:r>
    </w:p>
    <w:p w14:paraId="7BA34CD4" w14:textId="6E62DE64" w:rsidR="007F7050" w:rsidRDefault="007F7050" w:rsidP="001D02A8">
      <w:pPr>
        <w:pStyle w:val="ListParagraph"/>
        <w:numPr>
          <w:ilvl w:val="0"/>
          <w:numId w:val="1"/>
        </w:numPr>
        <w:spacing w:line="360" w:lineRule="auto"/>
        <w:rPr>
          <w:rFonts w:asciiTheme="minorHAnsi" w:hAnsiTheme="minorHAnsi" w:cstheme="minorHAnsi"/>
          <w:sz w:val="23"/>
          <w:szCs w:val="23"/>
        </w:rPr>
      </w:pPr>
      <w:r>
        <w:rPr>
          <w:rFonts w:asciiTheme="minorHAnsi" w:hAnsiTheme="minorHAnsi" w:cstheme="minorHAnsi"/>
          <w:sz w:val="23"/>
          <w:szCs w:val="23"/>
        </w:rPr>
        <w:t>Decrease in level of care standards</w:t>
      </w:r>
    </w:p>
    <w:p w14:paraId="61FA92CB" w14:textId="0C05FBA4" w:rsidR="007F7050" w:rsidRPr="000C485A" w:rsidRDefault="007F7050" w:rsidP="001D02A8">
      <w:pPr>
        <w:pStyle w:val="ListParagraph"/>
        <w:numPr>
          <w:ilvl w:val="0"/>
          <w:numId w:val="1"/>
        </w:numPr>
        <w:spacing w:line="360" w:lineRule="auto"/>
        <w:rPr>
          <w:rFonts w:asciiTheme="minorHAnsi" w:hAnsiTheme="minorHAnsi" w:cstheme="minorHAnsi"/>
          <w:sz w:val="23"/>
          <w:szCs w:val="23"/>
        </w:rPr>
      </w:pPr>
      <w:r>
        <w:rPr>
          <w:rFonts w:asciiTheme="minorHAnsi" w:hAnsiTheme="minorHAnsi" w:cstheme="minorHAnsi"/>
          <w:sz w:val="23"/>
          <w:szCs w:val="23"/>
        </w:rPr>
        <w:t>Loss of Placement:  voluntary and discharges</w:t>
      </w:r>
    </w:p>
    <w:p w14:paraId="44D8E2F5" w14:textId="753AF5A8" w:rsidR="00676070" w:rsidRPr="000C485A" w:rsidRDefault="00676070" w:rsidP="00676070">
      <w:pPr>
        <w:pStyle w:val="ListParagraph"/>
        <w:numPr>
          <w:ilvl w:val="0"/>
          <w:numId w:val="1"/>
        </w:numPr>
        <w:spacing w:line="360" w:lineRule="auto"/>
        <w:rPr>
          <w:rFonts w:asciiTheme="minorHAnsi" w:hAnsiTheme="minorHAnsi" w:cstheme="minorHAnsi"/>
          <w:sz w:val="23"/>
          <w:szCs w:val="23"/>
        </w:rPr>
      </w:pPr>
      <w:r w:rsidRPr="000C485A">
        <w:rPr>
          <w:rFonts w:asciiTheme="minorHAnsi" w:hAnsiTheme="minorHAnsi" w:cstheme="minorHAnsi"/>
          <w:sz w:val="23"/>
          <w:szCs w:val="23"/>
        </w:rPr>
        <w:t>SNF deaths are increasingly higher than the general population</w:t>
      </w:r>
    </w:p>
    <w:p w14:paraId="2ABD00A8" w14:textId="415CD8F5" w:rsidR="00EE7BB1" w:rsidRDefault="001D02A8" w:rsidP="001D02A8">
      <w:pPr>
        <w:pStyle w:val="ListParagraph"/>
        <w:numPr>
          <w:ilvl w:val="0"/>
          <w:numId w:val="1"/>
        </w:numPr>
        <w:spacing w:line="360" w:lineRule="auto"/>
        <w:rPr>
          <w:rFonts w:asciiTheme="minorHAnsi" w:hAnsiTheme="minorHAnsi" w:cstheme="minorHAnsi"/>
          <w:sz w:val="23"/>
          <w:szCs w:val="23"/>
        </w:rPr>
      </w:pPr>
      <w:r w:rsidRPr="000C485A">
        <w:rPr>
          <w:rFonts w:asciiTheme="minorHAnsi" w:hAnsiTheme="minorHAnsi" w:cstheme="minorHAnsi"/>
          <w:sz w:val="23"/>
          <w:szCs w:val="23"/>
        </w:rPr>
        <w:t xml:space="preserve">Limited </w:t>
      </w:r>
      <w:r w:rsidR="00405C9B">
        <w:rPr>
          <w:rFonts w:asciiTheme="minorHAnsi" w:hAnsiTheme="minorHAnsi" w:cstheme="minorHAnsi"/>
          <w:sz w:val="23"/>
          <w:szCs w:val="23"/>
        </w:rPr>
        <w:t>v</w:t>
      </w:r>
      <w:r w:rsidRPr="000C485A">
        <w:rPr>
          <w:rFonts w:asciiTheme="minorHAnsi" w:hAnsiTheme="minorHAnsi" w:cstheme="minorHAnsi"/>
          <w:sz w:val="23"/>
          <w:szCs w:val="23"/>
        </w:rPr>
        <w:t>isits from family members and community connection</w:t>
      </w:r>
    </w:p>
    <w:p w14:paraId="7D3ABD29" w14:textId="616135E2" w:rsidR="007F7050" w:rsidRPr="000C485A" w:rsidRDefault="007F7050" w:rsidP="007F7050">
      <w:pPr>
        <w:pStyle w:val="ListParagraph"/>
        <w:spacing w:line="360" w:lineRule="auto"/>
        <w:rPr>
          <w:rFonts w:asciiTheme="minorHAnsi" w:hAnsiTheme="minorHAnsi" w:cstheme="minorHAnsi"/>
          <w:sz w:val="23"/>
          <w:szCs w:val="23"/>
        </w:rPr>
      </w:pPr>
    </w:p>
    <w:p w14:paraId="7EEFEB4D" w14:textId="77777777" w:rsidR="00C54FE6" w:rsidRDefault="00C54FE6" w:rsidP="001D02A8">
      <w:pPr>
        <w:spacing w:line="360" w:lineRule="auto"/>
        <w:rPr>
          <w:rFonts w:cstheme="minorHAnsi"/>
          <w:b/>
          <w:bCs/>
          <w:sz w:val="24"/>
          <w:szCs w:val="24"/>
        </w:rPr>
      </w:pPr>
    </w:p>
    <w:p w14:paraId="176F87E9" w14:textId="30E93DAD" w:rsidR="00426A9F" w:rsidRPr="00426A9F" w:rsidRDefault="001D02A8" w:rsidP="001D02A8">
      <w:pPr>
        <w:spacing w:line="360" w:lineRule="auto"/>
        <w:rPr>
          <w:rFonts w:cstheme="minorHAnsi"/>
          <w:b/>
          <w:bCs/>
          <w:sz w:val="24"/>
          <w:szCs w:val="24"/>
        </w:rPr>
      </w:pPr>
      <w:r w:rsidRPr="00426A9F">
        <w:rPr>
          <w:rFonts w:cstheme="minorHAnsi"/>
          <w:b/>
          <w:bCs/>
          <w:sz w:val="24"/>
          <w:szCs w:val="24"/>
        </w:rPr>
        <w:lastRenderedPageBreak/>
        <w:t>DATA AT A GLANCE:</w:t>
      </w:r>
    </w:p>
    <w:p w14:paraId="0C06F436" w14:textId="77777777" w:rsidR="00FE1046" w:rsidRPr="00426A9F" w:rsidRDefault="00FE1046" w:rsidP="00FE1046">
      <w:pPr>
        <w:keepNext/>
        <w:spacing w:line="360" w:lineRule="auto"/>
        <w:rPr>
          <w:rFonts w:cstheme="minorHAnsi"/>
        </w:rPr>
      </w:pPr>
      <w:r w:rsidRPr="00426A9F">
        <w:rPr>
          <w:rFonts w:cstheme="minorHAnsi"/>
          <w:noProof/>
        </w:rPr>
        <w:drawing>
          <wp:inline distT="0" distB="0" distL="0" distR="0" wp14:anchorId="0AF0A812" wp14:editId="7A9A75B8">
            <wp:extent cx="64389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5528" t="7090" r="3509" b="33366"/>
                    <a:stretch/>
                  </pic:blipFill>
                  <pic:spPr bwMode="auto">
                    <a:xfrm>
                      <a:off x="0" y="0"/>
                      <a:ext cx="6443241" cy="2258947"/>
                    </a:xfrm>
                    <a:prstGeom prst="rect">
                      <a:avLst/>
                    </a:prstGeom>
                    <a:ln>
                      <a:noFill/>
                    </a:ln>
                    <a:extLst>
                      <a:ext uri="{53640926-AAD7-44D8-BBD7-CCE9431645EC}">
                        <a14:shadowObscured xmlns:a14="http://schemas.microsoft.com/office/drawing/2010/main"/>
                      </a:ext>
                    </a:extLst>
                  </pic:spPr>
                </pic:pic>
              </a:graphicData>
            </a:graphic>
          </wp:inline>
        </w:drawing>
      </w:r>
    </w:p>
    <w:p w14:paraId="20512C85" w14:textId="6525BAF0" w:rsidR="00BC722D" w:rsidRPr="00BC722D" w:rsidRDefault="00FE1046" w:rsidP="00BC722D">
      <w:pPr>
        <w:rPr>
          <w:i/>
          <w:iCs/>
          <w:sz w:val="18"/>
          <w:szCs w:val="18"/>
        </w:rPr>
      </w:pPr>
      <w:r w:rsidRPr="00426A9F">
        <w:rPr>
          <w:rFonts w:cstheme="minorHAnsi"/>
        </w:rPr>
        <w:t xml:space="preserve">Figure </w:t>
      </w:r>
      <w:r w:rsidR="001D7410">
        <w:rPr>
          <w:rFonts w:cstheme="minorHAnsi"/>
        </w:rPr>
        <w:t>2</w:t>
      </w:r>
      <w:r w:rsidRPr="00426A9F">
        <w:rPr>
          <w:rFonts w:cstheme="minorHAnsi"/>
        </w:rPr>
        <w:t xml:space="preserve">: CDPH </w:t>
      </w:r>
      <w:r w:rsidR="003B7190" w:rsidRPr="00426A9F">
        <w:rPr>
          <w:rFonts w:cstheme="minorHAnsi"/>
        </w:rPr>
        <w:t>Dashboard</w:t>
      </w:r>
      <w:r w:rsidR="0092132E" w:rsidRPr="00426A9F">
        <w:rPr>
          <w:rFonts w:cstheme="minorHAnsi"/>
        </w:rPr>
        <w:t xml:space="preserve"> 5/10 -5/31</w:t>
      </w:r>
      <w:r w:rsidR="003B7190" w:rsidRPr="00426A9F">
        <w:rPr>
          <w:rFonts w:cstheme="minorHAnsi"/>
        </w:rPr>
        <w:t>:</w:t>
      </w:r>
      <w:r w:rsidR="003B7190" w:rsidRPr="00426A9F">
        <w:rPr>
          <w:rFonts w:cstheme="minorHAnsi"/>
          <w:color w:val="202020"/>
          <w:sz w:val="27"/>
          <w:szCs w:val="27"/>
          <w:shd w:val="clear" w:color="auto" w:fill="FFFFFF"/>
        </w:rPr>
        <w:t xml:space="preserve"> </w:t>
      </w:r>
      <w:r w:rsidR="003B7190" w:rsidRPr="00426A9F">
        <w:rPr>
          <w:rFonts w:cstheme="minorHAnsi"/>
          <w:color w:val="202020"/>
          <w:sz w:val="20"/>
          <w:szCs w:val="20"/>
          <w:shd w:val="clear" w:color="auto" w:fill="FFFFFF"/>
        </w:rPr>
        <w:t xml:space="preserve">All data in this dashboard is provided to offer a snapshot of COVID-19 in skilled nursing facilities in </w:t>
      </w:r>
      <w:r w:rsidR="00BC722D" w:rsidRPr="00426A9F">
        <w:rPr>
          <w:rFonts w:cstheme="minorHAnsi"/>
          <w:color w:val="202020"/>
          <w:sz w:val="20"/>
          <w:szCs w:val="20"/>
          <w:shd w:val="clear" w:color="auto" w:fill="FFFFFF"/>
        </w:rPr>
        <w:t>California and</w:t>
      </w:r>
      <w:r w:rsidR="003B7190" w:rsidRPr="00426A9F">
        <w:rPr>
          <w:rFonts w:cstheme="minorHAnsi"/>
          <w:color w:val="202020"/>
          <w:sz w:val="20"/>
          <w:szCs w:val="20"/>
          <w:shd w:val="clear" w:color="auto" w:fill="FFFFFF"/>
        </w:rPr>
        <w:t xml:space="preserve"> does not imply wrongdoing on the part of the facility.</w:t>
      </w:r>
      <w:r w:rsidR="00BC722D" w:rsidRPr="00BC722D">
        <w:t xml:space="preserve"> </w:t>
      </w:r>
      <w:hyperlink r:id="rId22" w:history="1">
        <w:r w:rsidR="00BC722D" w:rsidRPr="00BC722D">
          <w:rPr>
            <w:rStyle w:val="Hyperlink"/>
            <w:i/>
            <w:iCs/>
            <w:sz w:val="18"/>
            <w:szCs w:val="18"/>
          </w:rPr>
          <w:t>https://www.cdph.ca.gov/Programs/CID/DCDC/Pages/COVID-19/SNFsCOVID_19.aspx</w:t>
        </w:r>
      </w:hyperlink>
    </w:p>
    <w:p w14:paraId="00E49B00" w14:textId="35294ACF" w:rsidR="00FE1046" w:rsidRDefault="003B7190" w:rsidP="00FE1046">
      <w:pPr>
        <w:pStyle w:val="Caption"/>
        <w:rPr>
          <w:rFonts w:cstheme="minorHAnsi"/>
          <w:sz w:val="20"/>
          <w:szCs w:val="20"/>
        </w:rPr>
      </w:pPr>
      <w:r w:rsidRPr="00426A9F">
        <w:rPr>
          <w:rFonts w:cstheme="minorHAnsi"/>
          <w:sz w:val="20"/>
          <w:szCs w:val="20"/>
        </w:rPr>
        <w:t xml:space="preserve"> </w:t>
      </w:r>
    </w:p>
    <w:p w14:paraId="0C27B67A" w14:textId="77777777" w:rsidR="00BC722D" w:rsidRPr="00BC722D" w:rsidRDefault="00BC722D" w:rsidP="00BC722D"/>
    <w:p w14:paraId="13C17157" w14:textId="77777777" w:rsidR="003B7190" w:rsidRPr="00426A9F" w:rsidRDefault="003B7190" w:rsidP="003B7190">
      <w:pPr>
        <w:keepNext/>
        <w:tabs>
          <w:tab w:val="left" w:pos="1605"/>
        </w:tabs>
        <w:rPr>
          <w:rFonts w:cstheme="minorHAnsi"/>
        </w:rPr>
      </w:pPr>
      <w:r w:rsidRPr="00426A9F">
        <w:rPr>
          <w:rFonts w:cstheme="minorHAnsi"/>
          <w:noProof/>
        </w:rPr>
        <w:drawing>
          <wp:inline distT="0" distB="0" distL="0" distR="0" wp14:anchorId="187DDACB" wp14:editId="406B7AC5">
            <wp:extent cx="6334125" cy="2752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0416" t="11582" r="8174" b="17232"/>
                    <a:stretch/>
                  </pic:blipFill>
                  <pic:spPr bwMode="auto">
                    <a:xfrm>
                      <a:off x="0" y="0"/>
                      <a:ext cx="6334125" cy="2752725"/>
                    </a:xfrm>
                    <a:prstGeom prst="rect">
                      <a:avLst/>
                    </a:prstGeom>
                    <a:ln>
                      <a:noFill/>
                    </a:ln>
                    <a:extLst>
                      <a:ext uri="{53640926-AAD7-44D8-BBD7-CCE9431645EC}">
                        <a14:shadowObscured xmlns:a14="http://schemas.microsoft.com/office/drawing/2010/main"/>
                      </a:ext>
                    </a:extLst>
                  </pic:spPr>
                </pic:pic>
              </a:graphicData>
            </a:graphic>
          </wp:inline>
        </w:drawing>
      </w:r>
    </w:p>
    <w:p w14:paraId="55855FE0" w14:textId="757011F6" w:rsidR="00363797" w:rsidRDefault="003B7190" w:rsidP="000C485A">
      <w:pPr>
        <w:pStyle w:val="Caption"/>
        <w:rPr>
          <w:rFonts w:cstheme="minorHAnsi"/>
        </w:rPr>
      </w:pPr>
      <w:r w:rsidRPr="00426A9F">
        <w:rPr>
          <w:rFonts w:cstheme="minorHAnsi"/>
        </w:rPr>
        <w:t xml:space="preserve">Figure </w:t>
      </w:r>
      <w:r w:rsidR="001D7410">
        <w:rPr>
          <w:rFonts w:cstheme="minorHAnsi"/>
        </w:rPr>
        <w:t>3</w:t>
      </w:r>
      <w:r w:rsidRPr="00426A9F">
        <w:rPr>
          <w:rFonts w:cstheme="minorHAnsi"/>
        </w:rPr>
        <w:t>: COIVD-19 Statewide Update:  65+ age group account for 78.4% of  total deaths an account for 15.6%</w:t>
      </w:r>
      <w:r w:rsidR="00292D8F" w:rsidRPr="00426A9F">
        <w:rPr>
          <w:rFonts w:cstheme="minorHAnsi"/>
        </w:rPr>
        <w:t xml:space="preserve"> of the total California population</w:t>
      </w:r>
      <w:r w:rsidR="004964F3" w:rsidRPr="00426A9F">
        <w:rPr>
          <w:rFonts w:cstheme="minorHAnsi"/>
        </w:rPr>
        <w:t xml:space="preserve"> </w:t>
      </w:r>
      <w:hyperlink r:id="rId24" w:anchor="top" w:history="1">
        <w:r w:rsidR="004964F3" w:rsidRPr="001D7410">
          <w:rPr>
            <w:rStyle w:val="Hyperlink"/>
            <w:rFonts w:cstheme="minorHAnsi"/>
          </w:rPr>
          <w:t>https://update.covid19.ca.gov/#top</w:t>
        </w:r>
      </w:hyperlink>
    </w:p>
    <w:p w14:paraId="02E05D11" w14:textId="77777777" w:rsidR="001D7410" w:rsidRDefault="001D7410" w:rsidP="000C485A">
      <w:pPr>
        <w:spacing w:line="360" w:lineRule="auto"/>
        <w:rPr>
          <w:rFonts w:cstheme="minorHAnsi"/>
          <w:sz w:val="23"/>
          <w:szCs w:val="23"/>
        </w:rPr>
      </w:pPr>
    </w:p>
    <w:p w14:paraId="67C5CD34" w14:textId="77777777" w:rsidR="00BE5A4C" w:rsidRDefault="00BE5A4C" w:rsidP="000C485A">
      <w:pPr>
        <w:spacing w:line="360" w:lineRule="auto"/>
        <w:rPr>
          <w:rFonts w:cstheme="minorHAnsi"/>
          <w:sz w:val="23"/>
          <w:szCs w:val="23"/>
        </w:rPr>
      </w:pPr>
    </w:p>
    <w:p w14:paraId="4B0C9360" w14:textId="77777777" w:rsidR="00925F52" w:rsidRDefault="00925F52" w:rsidP="000C485A">
      <w:pPr>
        <w:spacing w:line="360" w:lineRule="auto"/>
        <w:rPr>
          <w:rFonts w:cstheme="minorHAnsi"/>
          <w:sz w:val="23"/>
          <w:szCs w:val="23"/>
        </w:rPr>
      </w:pPr>
    </w:p>
    <w:p w14:paraId="2EA7B438" w14:textId="4DDB0E70" w:rsidR="00292D8F" w:rsidRPr="00BE5A4C" w:rsidRDefault="00A02589" w:rsidP="000C485A">
      <w:pPr>
        <w:spacing w:line="360" w:lineRule="auto"/>
        <w:rPr>
          <w:rFonts w:cstheme="minorHAnsi"/>
          <w:b/>
          <w:bCs/>
          <w:sz w:val="24"/>
          <w:szCs w:val="24"/>
        </w:rPr>
      </w:pPr>
      <w:r w:rsidRPr="00BE5A4C">
        <w:rPr>
          <w:rFonts w:cstheme="minorHAnsi"/>
          <w:b/>
          <w:bCs/>
          <w:sz w:val="24"/>
          <w:szCs w:val="24"/>
        </w:rPr>
        <w:lastRenderedPageBreak/>
        <w:t>COVID RESPONSE:</w:t>
      </w:r>
    </w:p>
    <w:p w14:paraId="686B01C7" w14:textId="64161F7D" w:rsidR="00A02589" w:rsidRPr="000C485A" w:rsidRDefault="00A02589" w:rsidP="000C485A">
      <w:pPr>
        <w:spacing w:line="360" w:lineRule="auto"/>
        <w:rPr>
          <w:rFonts w:cstheme="minorHAnsi"/>
          <w:sz w:val="23"/>
          <w:szCs w:val="23"/>
        </w:rPr>
      </w:pPr>
      <w:r w:rsidRPr="000C485A">
        <w:rPr>
          <w:rFonts w:cstheme="minorHAnsi"/>
          <w:sz w:val="23"/>
          <w:szCs w:val="23"/>
        </w:rPr>
        <w:t xml:space="preserve">The overall response of Ombudsman programs </w:t>
      </w:r>
      <w:r w:rsidR="001D7410">
        <w:rPr>
          <w:rFonts w:cstheme="minorHAnsi"/>
          <w:sz w:val="23"/>
          <w:szCs w:val="23"/>
        </w:rPr>
        <w:t xml:space="preserve"> varied </w:t>
      </w:r>
      <w:r w:rsidRPr="000C485A">
        <w:rPr>
          <w:rFonts w:cstheme="minorHAnsi"/>
          <w:sz w:val="23"/>
          <w:szCs w:val="23"/>
        </w:rPr>
        <w:t>across the state.  In a recent interview with CLTCOA</w:t>
      </w:r>
      <w:r w:rsidR="0040615F">
        <w:rPr>
          <w:rFonts w:cstheme="minorHAnsi"/>
          <w:sz w:val="23"/>
          <w:szCs w:val="23"/>
        </w:rPr>
        <w:t xml:space="preserve"> (</w:t>
      </w:r>
      <w:r w:rsidR="0040615F" w:rsidRPr="000C485A">
        <w:rPr>
          <w:rFonts w:cstheme="minorHAnsi"/>
          <w:sz w:val="23"/>
          <w:szCs w:val="23"/>
        </w:rPr>
        <w:t>Ombudsman State Association</w:t>
      </w:r>
      <w:r w:rsidR="0040615F">
        <w:rPr>
          <w:rFonts w:cstheme="minorHAnsi"/>
          <w:sz w:val="23"/>
          <w:szCs w:val="23"/>
        </w:rPr>
        <w:t>)</w:t>
      </w:r>
      <w:r w:rsidR="001D7410">
        <w:rPr>
          <w:rFonts w:cstheme="minorHAnsi"/>
          <w:sz w:val="23"/>
          <w:szCs w:val="23"/>
        </w:rPr>
        <w:t xml:space="preserve"> President</w:t>
      </w:r>
      <w:r w:rsidR="00054FF1" w:rsidRPr="000C485A">
        <w:rPr>
          <w:rFonts w:cstheme="minorHAnsi"/>
          <w:sz w:val="23"/>
          <w:szCs w:val="23"/>
        </w:rPr>
        <w:t xml:space="preserve">, </w:t>
      </w:r>
      <w:r w:rsidR="0040615F">
        <w:rPr>
          <w:rFonts w:cstheme="minorHAnsi"/>
          <w:sz w:val="23"/>
          <w:szCs w:val="23"/>
        </w:rPr>
        <w:t>Libby Anderson</w:t>
      </w:r>
      <w:r w:rsidR="001D7410">
        <w:rPr>
          <w:rFonts w:cstheme="minorHAnsi"/>
          <w:sz w:val="23"/>
          <w:szCs w:val="23"/>
        </w:rPr>
        <w:t xml:space="preserve">, explained that </w:t>
      </w:r>
      <w:r w:rsidR="00054FF1" w:rsidRPr="000C485A">
        <w:rPr>
          <w:rFonts w:cstheme="minorHAnsi"/>
          <w:sz w:val="23"/>
          <w:szCs w:val="23"/>
        </w:rPr>
        <w:t xml:space="preserve"> programs are challenged with several issues and </w:t>
      </w:r>
      <w:r w:rsidR="001D7410">
        <w:rPr>
          <w:rFonts w:cstheme="minorHAnsi"/>
          <w:sz w:val="23"/>
          <w:szCs w:val="23"/>
        </w:rPr>
        <w:t>are</w:t>
      </w:r>
      <w:r w:rsidR="00054FF1" w:rsidRPr="000C485A">
        <w:rPr>
          <w:rFonts w:cstheme="minorHAnsi"/>
          <w:sz w:val="23"/>
          <w:szCs w:val="23"/>
        </w:rPr>
        <w:t xml:space="preserve"> seeking guidance from CDSS, CDPH, and CMMS on how to re-enter facilities. The information they are receiving is primarily public health related </w:t>
      </w:r>
      <w:r w:rsidR="00363797" w:rsidRPr="000C485A">
        <w:rPr>
          <w:rFonts w:cstheme="minorHAnsi"/>
          <w:sz w:val="23"/>
          <w:szCs w:val="23"/>
        </w:rPr>
        <w:t>and is not substantial enough to give uniformed guidance</w:t>
      </w:r>
      <w:r w:rsidR="000C485A">
        <w:rPr>
          <w:rFonts w:cstheme="minorHAnsi"/>
          <w:sz w:val="23"/>
          <w:szCs w:val="23"/>
        </w:rPr>
        <w:t xml:space="preserve"> on</w:t>
      </w:r>
      <w:r w:rsidR="001D7410">
        <w:rPr>
          <w:rFonts w:cstheme="minorHAnsi"/>
          <w:sz w:val="23"/>
          <w:szCs w:val="23"/>
        </w:rPr>
        <w:t xml:space="preserve"> moving</w:t>
      </w:r>
      <w:r w:rsidR="000C485A">
        <w:rPr>
          <w:rFonts w:cstheme="minorHAnsi"/>
          <w:sz w:val="23"/>
          <w:szCs w:val="23"/>
        </w:rPr>
        <w:t xml:space="preserve"> forward</w:t>
      </w:r>
      <w:r w:rsidR="00363797" w:rsidRPr="000C485A">
        <w:rPr>
          <w:rFonts w:cstheme="minorHAnsi"/>
          <w:sz w:val="23"/>
          <w:szCs w:val="23"/>
        </w:rPr>
        <w:t xml:space="preserve">. </w:t>
      </w:r>
      <w:r w:rsidR="00811360" w:rsidRPr="000C485A">
        <w:rPr>
          <w:rFonts w:cstheme="minorHAnsi"/>
          <w:sz w:val="23"/>
          <w:szCs w:val="23"/>
        </w:rPr>
        <w:t xml:space="preserve"> </w:t>
      </w:r>
      <w:r w:rsidR="000C485A">
        <w:rPr>
          <w:rFonts w:cstheme="minorHAnsi"/>
          <w:sz w:val="23"/>
          <w:szCs w:val="23"/>
        </w:rPr>
        <w:t>Ombudsman</w:t>
      </w:r>
      <w:r w:rsidR="001D7410">
        <w:rPr>
          <w:rFonts w:cstheme="minorHAnsi"/>
          <w:sz w:val="23"/>
          <w:szCs w:val="23"/>
        </w:rPr>
        <w:t xml:space="preserve"> programs are</w:t>
      </w:r>
      <w:r w:rsidR="000C485A">
        <w:rPr>
          <w:rFonts w:cstheme="minorHAnsi"/>
          <w:sz w:val="23"/>
          <w:szCs w:val="23"/>
        </w:rPr>
        <w:t xml:space="preserve"> </w:t>
      </w:r>
      <w:r w:rsidR="001D7410">
        <w:rPr>
          <w:rFonts w:cstheme="minorHAnsi"/>
          <w:sz w:val="23"/>
          <w:szCs w:val="23"/>
        </w:rPr>
        <w:t xml:space="preserve">advocating </w:t>
      </w:r>
      <w:r w:rsidR="00811360" w:rsidRPr="000C485A">
        <w:rPr>
          <w:rFonts w:cstheme="minorHAnsi"/>
          <w:sz w:val="23"/>
          <w:szCs w:val="23"/>
        </w:rPr>
        <w:t xml:space="preserve">to enter facilities before families and other service professionals </w:t>
      </w:r>
      <w:r w:rsidR="00CA1952">
        <w:rPr>
          <w:rFonts w:cstheme="minorHAnsi"/>
          <w:sz w:val="23"/>
          <w:szCs w:val="23"/>
        </w:rPr>
        <w:t>can</w:t>
      </w:r>
      <w:r w:rsidR="001D7410">
        <w:rPr>
          <w:rFonts w:cstheme="minorHAnsi"/>
          <w:sz w:val="23"/>
          <w:szCs w:val="23"/>
        </w:rPr>
        <w:t xml:space="preserve"> </w:t>
      </w:r>
      <w:r w:rsidR="00CA1952">
        <w:rPr>
          <w:rFonts w:cstheme="minorHAnsi"/>
          <w:sz w:val="23"/>
          <w:szCs w:val="23"/>
        </w:rPr>
        <w:t>enter</w:t>
      </w:r>
      <w:r w:rsidR="00811360" w:rsidRPr="000C485A">
        <w:rPr>
          <w:rFonts w:cstheme="minorHAnsi"/>
          <w:sz w:val="23"/>
          <w:szCs w:val="23"/>
        </w:rPr>
        <w:t xml:space="preserve">.  </w:t>
      </w:r>
      <w:r w:rsidR="00811360" w:rsidRPr="001D7410">
        <w:rPr>
          <w:rFonts w:cstheme="minorHAnsi"/>
          <w:b/>
          <w:bCs/>
          <w:i/>
          <w:iCs/>
          <w:sz w:val="23"/>
          <w:szCs w:val="23"/>
        </w:rPr>
        <w:t xml:space="preserve">Interestingly, in several counties </w:t>
      </w:r>
      <w:r w:rsidR="00D757B4" w:rsidRPr="001D7410">
        <w:rPr>
          <w:rFonts w:cstheme="minorHAnsi"/>
          <w:b/>
          <w:bCs/>
          <w:i/>
          <w:iCs/>
          <w:sz w:val="23"/>
          <w:szCs w:val="23"/>
        </w:rPr>
        <w:t xml:space="preserve">private </w:t>
      </w:r>
      <w:r w:rsidR="00811360" w:rsidRPr="001D7410">
        <w:rPr>
          <w:rFonts w:cstheme="minorHAnsi"/>
          <w:b/>
          <w:bCs/>
          <w:i/>
          <w:iCs/>
          <w:sz w:val="23"/>
          <w:szCs w:val="23"/>
        </w:rPr>
        <w:t>Care Managers are allowed in facilities because they’re considered an essential service</w:t>
      </w:r>
      <w:r w:rsidR="00054FF1" w:rsidRPr="001D7410">
        <w:rPr>
          <w:rFonts w:cstheme="minorHAnsi"/>
          <w:b/>
          <w:bCs/>
          <w:i/>
          <w:iCs/>
          <w:sz w:val="23"/>
          <w:szCs w:val="23"/>
        </w:rPr>
        <w:t>.</w:t>
      </w:r>
      <w:r w:rsidR="00054FF1" w:rsidRPr="000C485A">
        <w:rPr>
          <w:rFonts w:cstheme="minorHAnsi"/>
          <w:sz w:val="23"/>
          <w:szCs w:val="23"/>
        </w:rPr>
        <w:t xml:space="preserve">  </w:t>
      </w:r>
      <w:r w:rsidR="001D7410">
        <w:rPr>
          <w:rFonts w:cstheme="minorHAnsi"/>
          <w:sz w:val="23"/>
          <w:szCs w:val="23"/>
        </w:rPr>
        <w:t xml:space="preserve">The decision to deem </w:t>
      </w:r>
      <w:r w:rsidR="00054FF1" w:rsidRPr="000C485A">
        <w:rPr>
          <w:rFonts w:cstheme="minorHAnsi"/>
          <w:sz w:val="23"/>
          <w:szCs w:val="23"/>
        </w:rPr>
        <w:t>Ombudsman programs as non-essential service</w:t>
      </w:r>
      <w:r w:rsidR="00AF633A">
        <w:rPr>
          <w:rFonts w:cstheme="minorHAnsi"/>
          <w:sz w:val="23"/>
          <w:szCs w:val="23"/>
        </w:rPr>
        <w:t>s</w:t>
      </w:r>
      <w:r w:rsidR="00054FF1" w:rsidRPr="000C485A">
        <w:rPr>
          <w:rFonts w:cstheme="minorHAnsi"/>
          <w:sz w:val="23"/>
          <w:szCs w:val="23"/>
        </w:rPr>
        <w:t xml:space="preserve"> restricted their ability to respond to reports of complaints, resulting in</w:t>
      </w:r>
      <w:r w:rsidR="000C485A" w:rsidRPr="000C485A">
        <w:rPr>
          <w:rFonts w:cstheme="minorHAnsi"/>
          <w:sz w:val="23"/>
          <w:szCs w:val="23"/>
        </w:rPr>
        <w:t xml:space="preserve"> a</w:t>
      </w:r>
      <w:r w:rsidR="00054FF1" w:rsidRPr="000C485A">
        <w:rPr>
          <w:rFonts w:cstheme="minorHAnsi"/>
          <w:sz w:val="23"/>
          <w:szCs w:val="23"/>
        </w:rPr>
        <w:t xml:space="preserve"> </w:t>
      </w:r>
      <w:r w:rsidR="00811360" w:rsidRPr="000C485A">
        <w:rPr>
          <w:rFonts w:cstheme="minorHAnsi"/>
          <w:sz w:val="23"/>
          <w:szCs w:val="23"/>
        </w:rPr>
        <w:t xml:space="preserve">41% decline in reports of abuse as </w:t>
      </w:r>
      <w:r w:rsidR="001D7410">
        <w:rPr>
          <w:rFonts w:cstheme="minorHAnsi"/>
          <w:sz w:val="23"/>
          <w:szCs w:val="23"/>
        </w:rPr>
        <w:t>highlighted</w:t>
      </w:r>
      <w:r w:rsidR="00811360" w:rsidRPr="000C485A">
        <w:rPr>
          <w:rFonts w:cstheme="minorHAnsi"/>
          <w:sz w:val="23"/>
          <w:szCs w:val="23"/>
        </w:rPr>
        <w:t xml:space="preserve"> in </w:t>
      </w:r>
      <w:r w:rsidR="001D7410">
        <w:rPr>
          <w:rFonts w:cstheme="minorHAnsi"/>
          <w:sz w:val="23"/>
          <w:szCs w:val="23"/>
        </w:rPr>
        <w:t xml:space="preserve">the </w:t>
      </w:r>
      <w:r w:rsidR="00811360" w:rsidRPr="000C485A">
        <w:rPr>
          <w:rFonts w:cstheme="minorHAnsi"/>
          <w:sz w:val="23"/>
          <w:szCs w:val="23"/>
        </w:rPr>
        <w:t>table below:</w:t>
      </w:r>
    </w:p>
    <w:tbl>
      <w:tblPr>
        <w:tblStyle w:val="GridTable4-Accent1"/>
        <w:tblpPr w:leftFromText="180" w:rightFromText="180" w:vertAnchor="text" w:horzAnchor="margin" w:tblpY="128"/>
        <w:tblW w:w="0" w:type="auto"/>
        <w:tblLook w:val="04A0" w:firstRow="1" w:lastRow="0" w:firstColumn="1" w:lastColumn="0" w:noHBand="0" w:noVBand="1"/>
      </w:tblPr>
      <w:tblGrid>
        <w:gridCol w:w="3116"/>
        <w:gridCol w:w="3117"/>
        <w:gridCol w:w="3117"/>
      </w:tblGrid>
      <w:tr w:rsidR="00363797" w14:paraId="7E9AECD4" w14:textId="77777777" w:rsidTr="00EF7A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7E43CD0" w14:textId="606075C1" w:rsidR="00363797" w:rsidRPr="00811360" w:rsidRDefault="00363797" w:rsidP="00363797">
            <w:pPr>
              <w:rPr>
                <w:rFonts w:cstheme="minorHAnsi"/>
                <w:b w:val="0"/>
                <w:bCs w:val="0"/>
              </w:rPr>
            </w:pPr>
            <w:r w:rsidRPr="00811360">
              <w:rPr>
                <w:rFonts w:cstheme="minorHAnsi"/>
                <w:b w:val="0"/>
                <w:bCs w:val="0"/>
              </w:rPr>
              <w:t>ANNUAL COMPARISON</w:t>
            </w:r>
          </w:p>
        </w:tc>
        <w:tc>
          <w:tcPr>
            <w:tcW w:w="3117" w:type="dxa"/>
          </w:tcPr>
          <w:p w14:paraId="29FDC710" w14:textId="77777777" w:rsidR="00363797" w:rsidRPr="00811360" w:rsidRDefault="00363797" w:rsidP="0036379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11360">
              <w:rPr>
                <w:rFonts w:cstheme="minorHAnsi"/>
                <w:b w:val="0"/>
                <w:bCs w:val="0"/>
              </w:rPr>
              <w:t># OF COMPLAINTS 2019</w:t>
            </w:r>
          </w:p>
        </w:tc>
        <w:tc>
          <w:tcPr>
            <w:tcW w:w="3117" w:type="dxa"/>
          </w:tcPr>
          <w:p w14:paraId="07CA7FF1" w14:textId="77777777" w:rsidR="00363797" w:rsidRPr="00811360" w:rsidRDefault="00363797" w:rsidP="0036379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11360">
              <w:rPr>
                <w:rFonts w:cstheme="minorHAnsi"/>
                <w:b w:val="0"/>
                <w:bCs w:val="0"/>
              </w:rPr>
              <w:t># OF ABUSE COMPLAINTS 2020</w:t>
            </w:r>
          </w:p>
        </w:tc>
      </w:tr>
      <w:tr w:rsidR="00363797" w14:paraId="61A069EB" w14:textId="77777777" w:rsidTr="00EF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87C8EA2" w14:textId="77777777" w:rsidR="00363797" w:rsidRDefault="00363797" w:rsidP="00363797">
            <w:pPr>
              <w:rPr>
                <w:rFonts w:cstheme="minorHAnsi"/>
              </w:rPr>
            </w:pPr>
            <w:r>
              <w:rPr>
                <w:rFonts w:cstheme="minorHAnsi"/>
              </w:rPr>
              <w:t>FEBRUARY 2020</w:t>
            </w:r>
          </w:p>
        </w:tc>
        <w:tc>
          <w:tcPr>
            <w:tcW w:w="3117" w:type="dxa"/>
          </w:tcPr>
          <w:p w14:paraId="7D789C03" w14:textId="77777777" w:rsidR="00363797" w:rsidRPr="00363797" w:rsidRDefault="00363797" w:rsidP="00363797">
            <w:pPr>
              <w:cnfStyle w:val="000000100000" w:firstRow="0" w:lastRow="0" w:firstColumn="0" w:lastColumn="0" w:oddVBand="0" w:evenVBand="0" w:oddHBand="1" w:evenHBand="0" w:firstRowFirstColumn="0" w:firstRowLastColumn="0" w:lastRowFirstColumn="0" w:lastRowLastColumn="0"/>
              <w:rPr>
                <w:rFonts w:cstheme="minorHAnsi"/>
                <w:highlight w:val="darkGray"/>
              </w:rPr>
            </w:pPr>
          </w:p>
        </w:tc>
        <w:tc>
          <w:tcPr>
            <w:tcW w:w="3117" w:type="dxa"/>
          </w:tcPr>
          <w:p w14:paraId="17062404" w14:textId="77777777" w:rsidR="00363797" w:rsidRDefault="00363797" w:rsidP="0036379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603</w:t>
            </w:r>
          </w:p>
        </w:tc>
      </w:tr>
      <w:tr w:rsidR="00363797" w14:paraId="5B682748" w14:textId="77777777" w:rsidTr="00EF7A2F">
        <w:tc>
          <w:tcPr>
            <w:cnfStyle w:val="001000000000" w:firstRow="0" w:lastRow="0" w:firstColumn="1" w:lastColumn="0" w:oddVBand="0" w:evenVBand="0" w:oddHBand="0" w:evenHBand="0" w:firstRowFirstColumn="0" w:firstRowLastColumn="0" w:lastRowFirstColumn="0" w:lastRowLastColumn="0"/>
            <w:tcW w:w="3116" w:type="dxa"/>
          </w:tcPr>
          <w:p w14:paraId="620C4C9D" w14:textId="77777777" w:rsidR="00363797" w:rsidRDefault="00363797" w:rsidP="00363797">
            <w:pPr>
              <w:rPr>
                <w:rFonts w:cstheme="minorHAnsi"/>
              </w:rPr>
            </w:pPr>
            <w:r>
              <w:rPr>
                <w:rFonts w:cstheme="minorHAnsi"/>
              </w:rPr>
              <w:t>MARCH 2020</w:t>
            </w:r>
          </w:p>
        </w:tc>
        <w:tc>
          <w:tcPr>
            <w:tcW w:w="3117" w:type="dxa"/>
          </w:tcPr>
          <w:p w14:paraId="0CE400A0" w14:textId="77777777" w:rsidR="00363797" w:rsidRPr="00363797" w:rsidRDefault="00363797" w:rsidP="00363797">
            <w:pPr>
              <w:cnfStyle w:val="000000000000" w:firstRow="0" w:lastRow="0" w:firstColumn="0" w:lastColumn="0" w:oddVBand="0" w:evenVBand="0" w:oddHBand="0" w:evenHBand="0" w:firstRowFirstColumn="0" w:firstRowLastColumn="0" w:lastRowFirstColumn="0" w:lastRowLastColumn="0"/>
              <w:rPr>
                <w:rFonts w:cstheme="minorHAnsi"/>
                <w:highlight w:val="darkGray"/>
              </w:rPr>
            </w:pPr>
          </w:p>
        </w:tc>
        <w:tc>
          <w:tcPr>
            <w:tcW w:w="3117" w:type="dxa"/>
          </w:tcPr>
          <w:p w14:paraId="21F8A895" w14:textId="77777777" w:rsidR="00363797" w:rsidRDefault="00363797" w:rsidP="0036379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457</w:t>
            </w:r>
          </w:p>
        </w:tc>
      </w:tr>
      <w:tr w:rsidR="00363797" w14:paraId="15FA41D9" w14:textId="77777777" w:rsidTr="00EF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5B7D61D" w14:textId="77777777" w:rsidR="00363797" w:rsidRDefault="00363797" w:rsidP="00363797">
            <w:pPr>
              <w:rPr>
                <w:rFonts w:cstheme="minorHAnsi"/>
              </w:rPr>
            </w:pPr>
            <w:r>
              <w:rPr>
                <w:rFonts w:cstheme="minorHAnsi"/>
              </w:rPr>
              <w:t>APRIL 2020</w:t>
            </w:r>
          </w:p>
        </w:tc>
        <w:tc>
          <w:tcPr>
            <w:tcW w:w="3117" w:type="dxa"/>
          </w:tcPr>
          <w:p w14:paraId="389DF206" w14:textId="77777777" w:rsidR="00363797" w:rsidRPr="00363797" w:rsidRDefault="00363797" w:rsidP="00363797">
            <w:pPr>
              <w:cnfStyle w:val="000000100000" w:firstRow="0" w:lastRow="0" w:firstColumn="0" w:lastColumn="0" w:oddVBand="0" w:evenVBand="0" w:oddHBand="1" w:evenHBand="0" w:firstRowFirstColumn="0" w:firstRowLastColumn="0" w:lastRowFirstColumn="0" w:lastRowLastColumn="0"/>
              <w:rPr>
                <w:rFonts w:cstheme="minorHAnsi"/>
                <w:highlight w:val="darkGray"/>
              </w:rPr>
            </w:pPr>
          </w:p>
        </w:tc>
        <w:tc>
          <w:tcPr>
            <w:tcW w:w="3117" w:type="dxa"/>
          </w:tcPr>
          <w:p w14:paraId="1E5AA1B4" w14:textId="77777777" w:rsidR="00363797" w:rsidRDefault="00363797" w:rsidP="0036379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340</w:t>
            </w:r>
          </w:p>
        </w:tc>
      </w:tr>
    </w:tbl>
    <w:p w14:paraId="5817FAFF" w14:textId="20195207" w:rsidR="000C485A" w:rsidRPr="00E118AF" w:rsidRDefault="000C485A" w:rsidP="00292D8F">
      <w:pPr>
        <w:rPr>
          <w:rFonts w:cstheme="minorHAnsi"/>
          <w:i/>
          <w:iCs/>
          <w:color w:val="1F3864" w:themeColor="accent1" w:themeShade="80"/>
          <w:sz w:val="18"/>
          <w:szCs w:val="18"/>
        </w:rPr>
      </w:pPr>
      <w:r w:rsidRPr="00E118AF">
        <w:rPr>
          <w:rFonts w:cstheme="minorHAnsi"/>
          <w:i/>
          <w:iCs/>
          <w:color w:val="1F3864" w:themeColor="accent1" w:themeShade="80"/>
          <w:sz w:val="18"/>
          <w:szCs w:val="18"/>
        </w:rPr>
        <w:t xml:space="preserve"> </w:t>
      </w:r>
      <w:r w:rsidR="00E118AF" w:rsidRPr="00E118AF">
        <w:rPr>
          <w:rFonts w:cstheme="minorHAnsi"/>
          <w:i/>
          <w:iCs/>
          <w:color w:val="1F3864" w:themeColor="accent1" w:themeShade="80"/>
          <w:sz w:val="18"/>
          <w:szCs w:val="18"/>
        </w:rPr>
        <w:t>Figure 5:  Annual Comparison of abuse reports, reported by Ombudsman State Office</w:t>
      </w:r>
    </w:p>
    <w:p w14:paraId="0973D215" w14:textId="31B5385A" w:rsidR="00AC1193" w:rsidRDefault="000C485A" w:rsidP="00BB79A3">
      <w:pPr>
        <w:spacing w:line="360" w:lineRule="auto"/>
        <w:rPr>
          <w:rFonts w:cstheme="minorHAnsi"/>
        </w:rPr>
      </w:pPr>
      <w:r>
        <w:rPr>
          <w:rFonts w:cstheme="minorHAnsi"/>
        </w:rPr>
        <w:t>Although reports of abuse</w:t>
      </w:r>
      <w:r w:rsidR="00AE3BFF">
        <w:rPr>
          <w:rFonts w:cstheme="minorHAnsi"/>
        </w:rPr>
        <w:t xml:space="preserve"> declined</w:t>
      </w:r>
      <w:r>
        <w:rPr>
          <w:rFonts w:cstheme="minorHAnsi"/>
        </w:rPr>
        <w:t xml:space="preserve">, </w:t>
      </w:r>
      <w:r w:rsidR="00AE3BFF">
        <w:rPr>
          <w:rFonts w:cstheme="minorHAnsi"/>
        </w:rPr>
        <w:t>information and assistance reports</w:t>
      </w:r>
      <w:r w:rsidR="00AC1193">
        <w:rPr>
          <w:rFonts w:cstheme="minorHAnsi"/>
        </w:rPr>
        <w:t xml:space="preserve"> </w:t>
      </w:r>
      <w:r>
        <w:rPr>
          <w:rFonts w:cstheme="minorHAnsi"/>
        </w:rPr>
        <w:t>drastically</w:t>
      </w:r>
      <w:r w:rsidR="00AE3BFF">
        <w:rPr>
          <w:rFonts w:cstheme="minorHAnsi"/>
        </w:rPr>
        <w:t xml:space="preserve"> increased.  </w:t>
      </w:r>
      <w:r>
        <w:rPr>
          <w:rFonts w:cstheme="minorHAnsi"/>
        </w:rPr>
        <w:t>In lieu of entering facilities</w:t>
      </w:r>
      <w:r w:rsidR="00565E64">
        <w:rPr>
          <w:rFonts w:cstheme="minorHAnsi"/>
        </w:rPr>
        <w:t>,</w:t>
      </w:r>
      <w:r>
        <w:rPr>
          <w:rFonts w:cstheme="minorHAnsi"/>
        </w:rPr>
        <w:t xml:space="preserve"> Ombudsman Programs have </w:t>
      </w:r>
      <w:r w:rsidR="00C54FE6">
        <w:rPr>
          <w:rFonts w:cstheme="minorHAnsi"/>
        </w:rPr>
        <w:t>transitioned</w:t>
      </w:r>
      <w:r>
        <w:rPr>
          <w:rFonts w:cstheme="minorHAnsi"/>
        </w:rPr>
        <w:t xml:space="preserve"> </w:t>
      </w:r>
      <w:r w:rsidR="00AE3BFF">
        <w:rPr>
          <w:rFonts w:cstheme="minorHAnsi"/>
        </w:rPr>
        <w:t xml:space="preserve">their services </w:t>
      </w:r>
      <w:r w:rsidR="00565E64">
        <w:rPr>
          <w:rFonts w:cstheme="minorHAnsi"/>
        </w:rPr>
        <w:t>from provid</w:t>
      </w:r>
      <w:r w:rsidR="00C54FE6">
        <w:rPr>
          <w:rFonts w:cstheme="minorHAnsi"/>
        </w:rPr>
        <w:t>ing</w:t>
      </w:r>
      <w:r w:rsidR="00565E64">
        <w:rPr>
          <w:rFonts w:cstheme="minorHAnsi"/>
        </w:rPr>
        <w:t xml:space="preserve"> direct services to residents to</w:t>
      </w:r>
      <w:r w:rsidR="00AE3BFF">
        <w:rPr>
          <w:rFonts w:cstheme="minorHAnsi"/>
        </w:rPr>
        <w:t xml:space="preserve"> conducting weekly calls to </w:t>
      </w:r>
      <w:r w:rsidR="00AF633A">
        <w:rPr>
          <w:rFonts w:cstheme="minorHAnsi"/>
        </w:rPr>
        <w:t>facilities, holding</w:t>
      </w:r>
      <w:r w:rsidR="00AE3BFF">
        <w:rPr>
          <w:rFonts w:cstheme="minorHAnsi"/>
        </w:rPr>
        <w:t xml:space="preserve"> conference calls,</w:t>
      </w:r>
      <w:r w:rsidR="00565E64">
        <w:rPr>
          <w:rFonts w:cstheme="minorHAnsi"/>
        </w:rPr>
        <w:t xml:space="preserve"> and</w:t>
      </w:r>
      <w:r w:rsidR="00AE3BFF">
        <w:rPr>
          <w:rFonts w:cstheme="minorHAnsi"/>
        </w:rPr>
        <w:t xml:space="preserve"> zoom calls (if available)</w:t>
      </w:r>
      <w:r w:rsidR="00565E64">
        <w:rPr>
          <w:rFonts w:cstheme="minorHAnsi"/>
        </w:rPr>
        <w:t xml:space="preserve"> until the SIP is lifted. </w:t>
      </w:r>
    </w:p>
    <w:p w14:paraId="44FC9269" w14:textId="77777777" w:rsidR="0018567F" w:rsidRDefault="0018567F" w:rsidP="00BB79A3">
      <w:pPr>
        <w:spacing w:line="360" w:lineRule="auto"/>
        <w:rPr>
          <w:rFonts w:cstheme="minorHAnsi"/>
        </w:rPr>
      </w:pPr>
    </w:p>
    <w:p w14:paraId="6E2751F0" w14:textId="4BC0F825" w:rsidR="003A1152" w:rsidRPr="0018567F" w:rsidRDefault="00AC1193" w:rsidP="00BB79A3">
      <w:pPr>
        <w:spacing w:line="360" w:lineRule="auto"/>
        <w:rPr>
          <w:rFonts w:cstheme="minorHAnsi"/>
          <w:b/>
          <w:bCs/>
          <w:sz w:val="24"/>
          <w:szCs w:val="24"/>
        </w:rPr>
      </w:pPr>
      <w:r w:rsidRPr="0018567F">
        <w:rPr>
          <w:rFonts w:cstheme="minorHAnsi"/>
          <w:b/>
          <w:bCs/>
          <w:sz w:val="24"/>
          <w:szCs w:val="24"/>
        </w:rPr>
        <w:t xml:space="preserve">DIGITAL </w:t>
      </w:r>
      <w:r w:rsidR="00AF633A" w:rsidRPr="0018567F">
        <w:rPr>
          <w:rFonts w:cstheme="minorHAnsi"/>
          <w:b/>
          <w:bCs/>
          <w:sz w:val="24"/>
          <w:szCs w:val="24"/>
        </w:rPr>
        <w:t>D</w:t>
      </w:r>
      <w:r w:rsidR="003A1152" w:rsidRPr="0018567F">
        <w:rPr>
          <w:rFonts w:cstheme="minorHAnsi"/>
          <w:b/>
          <w:bCs/>
          <w:sz w:val="24"/>
          <w:szCs w:val="24"/>
        </w:rPr>
        <w:t>IVIDE</w:t>
      </w:r>
      <w:r w:rsidR="00AF633A" w:rsidRPr="0018567F">
        <w:rPr>
          <w:rFonts w:cstheme="minorHAnsi"/>
          <w:b/>
          <w:bCs/>
          <w:sz w:val="24"/>
          <w:szCs w:val="24"/>
        </w:rPr>
        <w:t>:</w:t>
      </w:r>
    </w:p>
    <w:p w14:paraId="1B118C12" w14:textId="3C7EA18B" w:rsidR="00AC1193" w:rsidRDefault="003A1152" w:rsidP="00BB79A3">
      <w:pPr>
        <w:spacing w:line="360" w:lineRule="auto"/>
        <w:rPr>
          <w:rFonts w:cstheme="minorHAnsi"/>
        </w:rPr>
      </w:pPr>
      <w:r>
        <w:rPr>
          <w:rFonts w:cstheme="minorHAnsi"/>
        </w:rPr>
        <w:t>As mentio</w:t>
      </w:r>
      <w:r w:rsidR="00EE5B9C">
        <w:rPr>
          <w:rFonts w:cstheme="minorHAnsi"/>
        </w:rPr>
        <w:t>ned in the digital divide and social isolation</w:t>
      </w:r>
      <w:r w:rsidR="00FE5C29">
        <w:rPr>
          <w:rFonts w:cstheme="minorHAnsi"/>
        </w:rPr>
        <w:t xml:space="preserve"> </w:t>
      </w:r>
      <w:r w:rsidR="00E779C9">
        <w:rPr>
          <w:rFonts w:cstheme="minorHAnsi"/>
        </w:rPr>
        <w:t xml:space="preserve">position </w:t>
      </w:r>
      <w:r w:rsidR="00FE5C29">
        <w:rPr>
          <w:rFonts w:cstheme="minorHAnsi"/>
        </w:rPr>
        <w:t>papers</w:t>
      </w:r>
      <w:r w:rsidR="00EE5B9C">
        <w:rPr>
          <w:rFonts w:cstheme="minorHAnsi"/>
        </w:rPr>
        <w:t>, the pandemic highlighted the need to address gaps and inequities in digital technologies.</w:t>
      </w:r>
      <w:r w:rsidR="005A3D94">
        <w:rPr>
          <w:rFonts w:cstheme="minorHAnsi"/>
        </w:rPr>
        <w:t xml:space="preserve"> This group agrees with the position of CDA and C4A working together to address the digital divide for older adults living</w:t>
      </w:r>
      <w:r w:rsidR="00E779C9">
        <w:rPr>
          <w:rFonts w:cstheme="minorHAnsi"/>
        </w:rPr>
        <w:t xml:space="preserve"> in</w:t>
      </w:r>
      <w:r w:rsidR="005A3D94">
        <w:rPr>
          <w:rFonts w:cstheme="minorHAnsi"/>
        </w:rPr>
        <w:t xml:space="preserve"> assisted living and skilled nursing facilities.  </w:t>
      </w:r>
      <w:r w:rsidR="00EE5B9C">
        <w:rPr>
          <w:rFonts w:cstheme="minorHAnsi"/>
        </w:rPr>
        <w:t xml:space="preserve"> </w:t>
      </w:r>
      <w:r w:rsidR="000E7F1D">
        <w:rPr>
          <w:rFonts w:cstheme="minorHAnsi"/>
        </w:rPr>
        <w:t>At the onset of COVID-19</w:t>
      </w:r>
      <w:r w:rsidR="007D584E">
        <w:rPr>
          <w:rFonts w:cstheme="minorHAnsi"/>
        </w:rPr>
        <w:t>,</w:t>
      </w:r>
      <w:r w:rsidR="000E7F1D">
        <w:rPr>
          <w:rFonts w:cstheme="minorHAnsi"/>
        </w:rPr>
        <w:t xml:space="preserve"> </w:t>
      </w:r>
      <w:r w:rsidR="007D584E">
        <w:rPr>
          <w:rFonts w:cstheme="minorHAnsi"/>
        </w:rPr>
        <w:t>LTCOP</w:t>
      </w:r>
      <w:r w:rsidR="000E7F1D">
        <w:rPr>
          <w:rFonts w:cstheme="minorHAnsi"/>
        </w:rPr>
        <w:t xml:space="preserve"> </w:t>
      </w:r>
      <w:r w:rsidR="005A3D94">
        <w:rPr>
          <w:rFonts w:cstheme="minorHAnsi"/>
        </w:rPr>
        <w:t>Ombudsman</w:t>
      </w:r>
      <w:r w:rsidR="00E779C9">
        <w:rPr>
          <w:rFonts w:cstheme="minorHAnsi"/>
        </w:rPr>
        <w:t>’s</w:t>
      </w:r>
      <w:r w:rsidR="005A3D94">
        <w:rPr>
          <w:rFonts w:cstheme="minorHAnsi"/>
        </w:rPr>
        <w:t xml:space="preserve"> ability to respond to complaints ceased because they were not allowed in facilities.</w:t>
      </w:r>
      <w:r w:rsidR="000E7F1D">
        <w:rPr>
          <w:rFonts w:cstheme="minorHAnsi"/>
        </w:rPr>
        <w:t xml:space="preserve"> </w:t>
      </w:r>
      <w:r w:rsidR="005A3D94">
        <w:rPr>
          <w:rFonts w:cstheme="minorHAnsi"/>
        </w:rPr>
        <w:t xml:space="preserve"> California is the  forefront of </w:t>
      </w:r>
      <w:r w:rsidR="00F12FF4">
        <w:rPr>
          <w:rFonts w:cstheme="minorHAnsi"/>
        </w:rPr>
        <w:t xml:space="preserve"> digital </w:t>
      </w:r>
      <w:r w:rsidR="00BC722D">
        <w:rPr>
          <w:rFonts w:cstheme="minorHAnsi"/>
        </w:rPr>
        <w:t>technology;</w:t>
      </w:r>
      <w:r w:rsidR="00F12FF4">
        <w:rPr>
          <w:rFonts w:cstheme="minorHAnsi"/>
        </w:rPr>
        <w:t xml:space="preserve"> </w:t>
      </w:r>
      <w:r w:rsidR="005A3D94">
        <w:rPr>
          <w:rFonts w:cstheme="minorHAnsi"/>
        </w:rPr>
        <w:t>however, the Ombudsman program had no mechanism to</w:t>
      </w:r>
      <w:r w:rsidR="00BB79A3">
        <w:rPr>
          <w:rFonts w:cstheme="minorHAnsi"/>
        </w:rPr>
        <w:t xml:space="preserve"> implement services using updated technology.  As a result, residents in facilities did not have a clear path on communicating complaints and ar</w:t>
      </w:r>
      <w:r w:rsidR="00E779C9">
        <w:rPr>
          <w:rFonts w:cstheme="minorHAnsi"/>
        </w:rPr>
        <w:t>e relying on facility staff to address concerns</w:t>
      </w:r>
      <w:r w:rsidR="00BB79A3">
        <w:rPr>
          <w:rFonts w:cstheme="minorHAnsi"/>
        </w:rPr>
        <w:t xml:space="preserve"> that are Ombudsman related.</w:t>
      </w:r>
      <w:r w:rsidR="000053E6">
        <w:rPr>
          <w:rFonts w:cstheme="minorHAnsi"/>
        </w:rPr>
        <w:t xml:space="preserve"> </w:t>
      </w:r>
    </w:p>
    <w:p w14:paraId="5CA1D7CD" w14:textId="11781FA4" w:rsidR="00BB79A3" w:rsidRPr="00BC722D" w:rsidRDefault="00AC1193" w:rsidP="00BB79A3">
      <w:pPr>
        <w:spacing w:line="360" w:lineRule="auto"/>
        <w:rPr>
          <w:rFonts w:cstheme="minorHAnsi"/>
          <w:b/>
          <w:bCs/>
          <w:sz w:val="24"/>
          <w:szCs w:val="24"/>
        </w:rPr>
      </w:pPr>
      <w:r w:rsidRPr="00BB79A3">
        <w:rPr>
          <w:rFonts w:cstheme="minorHAnsi"/>
          <w:b/>
          <w:bCs/>
          <w:sz w:val="24"/>
          <w:szCs w:val="24"/>
        </w:rPr>
        <w:lastRenderedPageBreak/>
        <w:t>RE</w:t>
      </w:r>
      <w:r w:rsidR="000C485A" w:rsidRPr="00BB79A3">
        <w:rPr>
          <w:rFonts w:cstheme="minorHAnsi"/>
          <w:b/>
          <w:bCs/>
          <w:sz w:val="24"/>
          <w:szCs w:val="24"/>
        </w:rPr>
        <w:t>COMMENDATIONS:</w:t>
      </w:r>
    </w:p>
    <w:p w14:paraId="5EE2E177" w14:textId="77777777" w:rsidR="00BC722D" w:rsidRPr="00D3039B" w:rsidRDefault="00BC722D" w:rsidP="00BC722D">
      <w:pPr>
        <w:pStyle w:val="ListParagraph"/>
        <w:numPr>
          <w:ilvl w:val="0"/>
          <w:numId w:val="4"/>
        </w:numPr>
        <w:rPr>
          <w:rFonts w:asciiTheme="minorHAnsi" w:eastAsia="Times New Roman" w:hAnsiTheme="minorHAnsi" w:cstheme="minorHAnsi"/>
          <w:sz w:val="23"/>
          <w:szCs w:val="23"/>
        </w:rPr>
      </w:pPr>
      <w:r w:rsidRPr="00D3039B">
        <w:rPr>
          <w:rFonts w:asciiTheme="minorHAnsi" w:eastAsia="Times New Roman" w:hAnsiTheme="minorHAnsi" w:cstheme="minorHAnsi"/>
          <w:sz w:val="23"/>
          <w:szCs w:val="23"/>
        </w:rPr>
        <w:t>COVID response/Issues</w:t>
      </w:r>
    </w:p>
    <w:p w14:paraId="40F06913" w14:textId="5DAC3740" w:rsidR="00BC722D" w:rsidRPr="00D3039B" w:rsidRDefault="00BC722D" w:rsidP="00BC722D">
      <w:pPr>
        <w:pStyle w:val="ListParagraph"/>
        <w:numPr>
          <w:ilvl w:val="1"/>
          <w:numId w:val="4"/>
        </w:numPr>
        <w:rPr>
          <w:rFonts w:asciiTheme="minorHAnsi" w:eastAsia="Times New Roman" w:hAnsiTheme="minorHAnsi" w:cstheme="minorHAnsi"/>
          <w:sz w:val="23"/>
          <w:szCs w:val="23"/>
        </w:rPr>
      </w:pPr>
      <w:r w:rsidRPr="00D3039B">
        <w:rPr>
          <w:rFonts w:asciiTheme="minorHAnsi" w:eastAsia="Times New Roman" w:hAnsiTheme="minorHAnsi" w:cstheme="minorHAnsi"/>
          <w:sz w:val="23"/>
          <w:szCs w:val="23"/>
        </w:rPr>
        <w:t>Systemic Changes:</w:t>
      </w:r>
      <w:r w:rsidR="00E779C9">
        <w:rPr>
          <w:rFonts w:asciiTheme="minorHAnsi" w:eastAsia="Times New Roman" w:hAnsiTheme="minorHAnsi" w:cstheme="minorHAnsi"/>
          <w:sz w:val="23"/>
          <w:szCs w:val="23"/>
        </w:rPr>
        <w:t xml:space="preserve">  communication/ advocacy -</w:t>
      </w:r>
      <w:r w:rsidRPr="00D3039B">
        <w:rPr>
          <w:rFonts w:asciiTheme="minorHAnsi" w:eastAsia="Times New Roman" w:hAnsiTheme="minorHAnsi" w:cstheme="minorHAnsi"/>
          <w:sz w:val="23"/>
          <w:szCs w:val="23"/>
        </w:rPr>
        <w:t xml:space="preserve"> local, state, and federal</w:t>
      </w:r>
    </w:p>
    <w:p w14:paraId="61FBC562" w14:textId="77777777" w:rsidR="00BC722D" w:rsidRPr="00D3039B" w:rsidRDefault="00BC722D" w:rsidP="00BC722D">
      <w:pPr>
        <w:pStyle w:val="ListParagraph"/>
        <w:numPr>
          <w:ilvl w:val="1"/>
          <w:numId w:val="4"/>
        </w:numPr>
        <w:rPr>
          <w:rFonts w:asciiTheme="minorHAnsi" w:eastAsia="Times New Roman" w:hAnsiTheme="minorHAnsi" w:cstheme="minorHAnsi"/>
          <w:sz w:val="23"/>
          <w:szCs w:val="23"/>
        </w:rPr>
      </w:pPr>
      <w:r w:rsidRPr="00D3039B">
        <w:rPr>
          <w:rFonts w:asciiTheme="minorHAnsi" w:eastAsia="Times New Roman" w:hAnsiTheme="minorHAnsi" w:cstheme="minorHAnsi"/>
          <w:sz w:val="23"/>
          <w:szCs w:val="23"/>
        </w:rPr>
        <w:t>Creation of taskforce or strike team:  think outside of the box…utilize local universities to do research on how to move forward</w:t>
      </w:r>
    </w:p>
    <w:p w14:paraId="12D02562" w14:textId="77777777" w:rsidR="00BC722D" w:rsidRPr="00D3039B" w:rsidRDefault="00BC722D" w:rsidP="00BC722D">
      <w:pPr>
        <w:pStyle w:val="ListParagraph"/>
        <w:numPr>
          <w:ilvl w:val="1"/>
          <w:numId w:val="4"/>
        </w:numPr>
        <w:rPr>
          <w:rFonts w:asciiTheme="minorHAnsi" w:eastAsia="Times New Roman" w:hAnsiTheme="minorHAnsi" w:cstheme="minorHAnsi"/>
          <w:sz w:val="23"/>
          <w:szCs w:val="23"/>
        </w:rPr>
      </w:pPr>
      <w:r w:rsidRPr="00D3039B">
        <w:rPr>
          <w:rFonts w:asciiTheme="minorHAnsi" w:eastAsia="Times New Roman" w:hAnsiTheme="minorHAnsi" w:cstheme="minorHAnsi"/>
          <w:sz w:val="23"/>
          <w:szCs w:val="23"/>
        </w:rPr>
        <w:t>Essential Workers: immediately begin advocacy on being included in essential services</w:t>
      </w:r>
    </w:p>
    <w:p w14:paraId="5636DFD7" w14:textId="77777777" w:rsidR="00BC722D" w:rsidRPr="00D3039B" w:rsidRDefault="00BC722D" w:rsidP="00BC722D">
      <w:pPr>
        <w:pStyle w:val="ListParagraph"/>
        <w:numPr>
          <w:ilvl w:val="1"/>
          <w:numId w:val="4"/>
        </w:numPr>
        <w:rPr>
          <w:rFonts w:asciiTheme="minorHAnsi" w:eastAsia="Times New Roman" w:hAnsiTheme="minorHAnsi" w:cstheme="minorHAnsi"/>
          <w:sz w:val="23"/>
          <w:szCs w:val="23"/>
        </w:rPr>
      </w:pPr>
      <w:r w:rsidRPr="00D3039B">
        <w:rPr>
          <w:rFonts w:asciiTheme="minorHAnsi" w:eastAsia="Times New Roman" w:hAnsiTheme="minorHAnsi" w:cstheme="minorHAnsi"/>
          <w:sz w:val="23"/>
          <w:szCs w:val="23"/>
        </w:rPr>
        <w:t>Weekly Meeting or Scheduled Meetings:  Regular meeting with stakeholders to strategize on how to move forward….</w:t>
      </w:r>
      <w:r>
        <w:rPr>
          <w:rFonts w:asciiTheme="minorHAnsi" w:eastAsia="Times New Roman" w:hAnsiTheme="minorHAnsi" w:cstheme="minorHAnsi"/>
          <w:sz w:val="23"/>
          <w:szCs w:val="23"/>
        </w:rPr>
        <w:t>CANHR, CDSS, CDPH, LTCF Associations</w:t>
      </w:r>
    </w:p>
    <w:p w14:paraId="123620A3" w14:textId="16FD0587" w:rsidR="00BC722D" w:rsidRPr="00B45768" w:rsidRDefault="00BC722D" w:rsidP="00BC722D">
      <w:pPr>
        <w:pStyle w:val="ListParagraph"/>
        <w:numPr>
          <w:ilvl w:val="1"/>
          <w:numId w:val="4"/>
        </w:numPr>
        <w:rPr>
          <w:rFonts w:asciiTheme="minorHAnsi" w:eastAsia="Times New Roman" w:hAnsiTheme="minorHAnsi" w:cstheme="minorHAnsi"/>
          <w:sz w:val="23"/>
          <w:szCs w:val="23"/>
        </w:rPr>
      </w:pPr>
      <w:r w:rsidRPr="00D3039B">
        <w:rPr>
          <w:rFonts w:asciiTheme="minorHAnsi" w:eastAsia="Times New Roman" w:hAnsiTheme="minorHAnsi" w:cstheme="minorHAnsi"/>
          <w:sz w:val="23"/>
          <w:szCs w:val="23"/>
        </w:rPr>
        <w:t>PPE</w:t>
      </w:r>
      <w:r>
        <w:rPr>
          <w:rFonts w:asciiTheme="minorHAnsi" w:eastAsia="Times New Roman" w:hAnsiTheme="minorHAnsi" w:cstheme="minorHAnsi"/>
          <w:sz w:val="23"/>
          <w:szCs w:val="23"/>
        </w:rPr>
        <w:t>:  Supply and educate staff/volunteers on proper PPE usage. The OSLTCO should provide uniform guidance</w:t>
      </w:r>
      <w:r w:rsidR="008A4B42">
        <w:rPr>
          <w:rFonts w:asciiTheme="minorHAnsi" w:eastAsia="Times New Roman" w:hAnsiTheme="minorHAnsi" w:cstheme="minorHAnsi"/>
          <w:sz w:val="23"/>
          <w:szCs w:val="23"/>
        </w:rPr>
        <w:t xml:space="preserve"> to local LTCOP on PPE training</w:t>
      </w:r>
    </w:p>
    <w:p w14:paraId="418EC569" w14:textId="2AA01198" w:rsidR="00BC722D" w:rsidRPr="00D3039B" w:rsidRDefault="00BC722D" w:rsidP="00BC722D">
      <w:pPr>
        <w:pStyle w:val="ListParagraph"/>
        <w:numPr>
          <w:ilvl w:val="1"/>
          <w:numId w:val="4"/>
        </w:numPr>
        <w:rPr>
          <w:rFonts w:asciiTheme="minorHAnsi" w:eastAsia="Times New Roman" w:hAnsiTheme="minorHAnsi" w:cstheme="minorHAnsi"/>
          <w:sz w:val="23"/>
          <w:szCs w:val="23"/>
        </w:rPr>
      </w:pPr>
      <w:r>
        <w:rPr>
          <w:rFonts w:asciiTheme="minorHAnsi" w:eastAsia="Times New Roman" w:hAnsiTheme="minorHAnsi" w:cstheme="minorHAnsi"/>
          <w:sz w:val="23"/>
          <w:szCs w:val="23"/>
        </w:rPr>
        <w:t>PSA</w:t>
      </w:r>
      <w:r w:rsidR="008A4B42">
        <w:rPr>
          <w:rFonts w:asciiTheme="minorHAnsi" w:eastAsia="Times New Roman" w:hAnsiTheme="minorHAnsi" w:cstheme="minorHAnsi"/>
          <w:sz w:val="23"/>
          <w:szCs w:val="23"/>
        </w:rPr>
        <w:t>’</w:t>
      </w:r>
      <w:r>
        <w:rPr>
          <w:rFonts w:asciiTheme="minorHAnsi" w:eastAsia="Times New Roman" w:hAnsiTheme="minorHAnsi" w:cstheme="minorHAnsi"/>
          <w:sz w:val="23"/>
          <w:szCs w:val="23"/>
        </w:rPr>
        <w:t>s on Ombudsman Services:  Increase visibility—local cable networks</w:t>
      </w:r>
    </w:p>
    <w:p w14:paraId="1D382FD4" w14:textId="77777777" w:rsidR="00BC722D" w:rsidRDefault="00BC722D" w:rsidP="00BC722D">
      <w:pPr>
        <w:pStyle w:val="ListParagraph"/>
        <w:numPr>
          <w:ilvl w:val="1"/>
          <w:numId w:val="4"/>
        </w:numPr>
        <w:rPr>
          <w:rFonts w:asciiTheme="minorHAnsi" w:eastAsia="Times New Roman" w:hAnsiTheme="minorHAnsi" w:cstheme="minorHAnsi"/>
          <w:sz w:val="23"/>
          <w:szCs w:val="23"/>
        </w:rPr>
      </w:pPr>
      <w:r w:rsidRPr="00D3039B">
        <w:rPr>
          <w:rFonts w:asciiTheme="minorHAnsi" w:eastAsia="Times New Roman" w:hAnsiTheme="minorHAnsi" w:cstheme="minorHAnsi"/>
          <w:sz w:val="23"/>
          <w:szCs w:val="23"/>
        </w:rPr>
        <w:t>A proactive</w:t>
      </w:r>
      <w:r>
        <w:rPr>
          <w:rFonts w:asciiTheme="minorHAnsi" w:eastAsia="Times New Roman" w:hAnsiTheme="minorHAnsi" w:cstheme="minorHAnsi"/>
          <w:sz w:val="23"/>
          <w:szCs w:val="23"/>
        </w:rPr>
        <w:t xml:space="preserve"> service plan: specific steps Ombudsman will take to re-implement resident centered services vs. facility-centered service</w:t>
      </w:r>
    </w:p>
    <w:p w14:paraId="0F8F93F6" w14:textId="77777777" w:rsidR="00BC722D" w:rsidRPr="00D3039B" w:rsidRDefault="00BC722D" w:rsidP="00BC722D">
      <w:pPr>
        <w:pStyle w:val="ListParagraph"/>
        <w:numPr>
          <w:ilvl w:val="1"/>
          <w:numId w:val="4"/>
        </w:numPr>
        <w:rPr>
          <w:rFonts w:asciiTheme="minorHAnsi" w:eastAsia="Times New Roman" w:hAnsiTheme="minorHAnsi" w:cstheme="minorHAnsi"/>
          <w:sz w:val="23"/>
          <w:szCs w:val="23"/>
        </w:rPr>
      </w:pPr>
      <w:r>
        <w:rPr>
          <w:rFonts w:asciiTheme="minorHAnsi" w:eastAsia="Times New Roman" w:hAnsiTheme="minorHAnsi" w:cstheme="minorHAnsi"/>
          <w:sz w:val="23"/>
          <w:szCs w:val="23"/>
        </w:rPr>
        <w:t xml:space="preserve">Digital Divide: OSLTCO immediately examine ways to implement and give guidance on digital technology in the local LTCOP programs </w:t>
      </w:r>
    </w:p>
    <w:p w14:paraId="3D9BD673" w14:textId="6BEFBC3B" w:rsidR="00BC722D" w:rsidRPr="00094201" w:rsidRDefault="00BC722D" w:rsidP="00094201">
      <w:pPr>
        <w:pStyle w:val="ListParagraph"/>
        <w:numPr>
          <w:ilvl w:val="1"/>
          <w:numId w:val="4"/>
        </w:numPr>
        <w:rPr>
          <w:rFonts w:asciiTheme="minorHAnsi" w:hAnsiTheme="minorHAnsi" w:cstheme="minorHAnsi"/>
          <w:sz w:val="23"/>
          <w:szCs w:val="23"/>
        </w:rPr>
      </w:pPr>
      <w:r w:rsidRPr="00D3039B">
        <w:rPr>
          <w:rFonts w:asciiTheme="minorHAnsi" w:eastAsia="Times New Roman" w:hAnsiTheme="minorHAnsi" w:cstheme="minorHAnsi"/>
          <w:sz w:val="23"/>
          <w:szCs w:val="23"/>
        </w:rPr>
        <w:t>CARES Funding:  Use funding to immediately address digital divide issues</w:t>
      </w:r>
    </w:p>
    <w:p w14:paraId="1E7ECBFA" w14:textId="77777777" w:rsidR="00BC722D" w:rsidRDefault="00BC722D" w:rsidP="00BC722D">
      <w:pPr>
        <w:pStyle w:val="ListParagraph"/>
        <w:rPr>
          <w:rFonts w:asciiTheme="minorHAnsi" w:hAnsiTheme="minorHAnsi" w:cstheme="minorHAnsi"/>
          <w:sz w:val="23"/>
          <w:szCs w:val="23"/>
        </w:rPr>
      </w:pPr>
    </w:p>
    <w:p w14:paraId="44888729" w14:textId="77777777" w:rsidR="00094201" w:rsidRPr="00D3039B" w:rsidRDefault="00094201" w:rsidP="00BC722D">
      <w:pPr>
        <w:pStyle w:val="ListParagraph"/>
        <w:rPr>
          <w:rFonts w:asciiTheme="minorHAnsi" w:hAnsiTheme="minorHAnsi" w:cstheme="minorHAnsi"/>
          <w:sz w:val="23"/>
          <w:szCs w:val="23"/>
        </w:rPr>
      </w:pPr>
    </w:p>
    <w:p w14:paraId="4A88210B" w14:textId="7B8CD2D4" w:rsidR="00BC722D" w:rsidRPr="00D3039B" w:rsidRDefault="00094201" w:rsidP="00BC722D">
      <w:pPr>
        <w:pStyle w:val="ListParagraph"/>
        <w:numPr>
          <w:ilvl w:val="0"/>
          <w:numId w:val="4"/>
        </w:numPr>
        <w:rPr>
          <w:rFonts w:asciiTheme="minorHAnsi" w:eastAsia="Times New Roman" w:hAnsiTheme="minorHAnsi" w:cstheme="minorHAnsi"/>
          <w:sz w:val="23"/>
          <w:szCs w:val="23"/>
        </w:rPr>
      </w:pPr>
      <w:r>
        <w:rPr>
          <w:rFonts w:asciiTheme="minorHAnsi" w:eastAsia="Times New Roman" w:hAnsiTheme="minorHAnsi" w:cstheme="minorHAnsi"/>
          <w:sz w:val="23"/>
          <w:szCs w:val="23"/>
        </w:rPr>
        <w:t>L</w:t>
      </w:r>
      <w:r w:rsidR="00BC722D" w:rsidRPr="00D3039B">
        <w:rPr>
          <w:rFonts w:asciiTheme="minorHAnsi" w:eastAsia="Times New Roman" w:hAnsiTheme="minorHAnsi" w:cstheme="minorHAnsi"/>
          <w:sz w:val="23"/>
          <w:szCs w:val="23"/>
        </w:rPr>
        <w:t>ong Term :</w:t>
      </w:r>
    </w:p>
    <w:p w14:paraId="6368727E" w14:textId="116F062A" w:rsidR="00BC722D" w:rsidRDefault="00BC722D" w:rsidP="00BC722D">
      <w:pPr>
        <w:pStyle w:val="ListParagraph"/>
        <w:numPr>
          <w:ilvl w:val="1"/>
          <w:numId w:val="4"/>
        </w:numPr>
        <w:rPr>
          <w:rFonts w:asciiTheme="minorHAnsi" w:eastAsia="Times New Roman" w:hAnsiTheme="minorHAnsi" w:cstheme="minorHAnsi"/>
          <w:sz w:val="23"/>
          <w:szCs w:val="23"/>
        </w:rPr>
      </w:pPr>
      <w:r>
        <w:rPr>
          <w:rFonts w:asciiTheme="minorHAnsi" w:eastAsia="Times New Roman" w:hAnsiTheme="minorHAnsi" w:cstheme="minorHAnsi"/>
          <w:sz w:val="23"/>
          <w:szCs w:val="23"/>
        </w:rPr>
        <w:t>Generational:  Tak</w:t>
      </w:r>
      <w:r w:rsidR="008A4B42">
        <w:rPr>
          <w:rFonts w:asciiTheme="minorHAnsi" w:eastAsia="Times New Roman" w:hAnsiTheme="minorHAnsi" w:cstheme="minorHAnsi"/>
          <w:sz w:val="23"/>
          <w:szCs w:val="23"/>
        </w:rPr>
        <w:t>e advantage of this historical</w:t>
      </w:r>
      <w:r>
        <w:rPr>
          <w:rFonts w:asciiTheme="minorHAnsi" w:eastAsia="Times New Roman" w:hAnsiTheme="minorHAnsi" w:cstheme="minorHAnsi"/>
          <w:sz w:val="23"/>
          <w:szCs w:val="23"/>
        </w:rPr>
        <w:t xml:space="preserve"> moment to review the program structure and take steps to make needed changes:</w:t>
      </w:r>
    </w:p>
    <w:p w14:paraId="38FD4143" w14:textId="6B4C23E4" w:rsidR="00BC722D" w:rsidRDefault="00BC722D" w:rsidP="00BC722D">
      <w:pPr>
        <w:pStyle w:val="ListParagraph"/>
        <w:numPr>
          <w:ilvl w:val="2"/>
          <w:numId w:val="4"/>
        </w:numPr>
        <w:rPr>
          <w:rFonts w:asciiTheme="minorHAnsi" w:eastAsia="Times New Roman" w:hAnsiTheme="minorHAnsi" w:cstheme="minorHAnsi"/>
          <w:sz w:val="23"/>
          <w:szCs w:val="23"/>
        </w:rPr>
      </w:pPr>
      <w:r>
        <w:rPr>
          <w:rFonts w:asciiTheme="minorHAnsi" w:eastAsia="Times New Roman" w:hAnsiTheme="minorHAnsi" w:cstheme="minorHAnsi"/>
          <w:sz w:val="23"/>
          <w:szCs w:val="23"/>
        </w:rPr>
        <w:t>Review Older Americans Act</w:t>
      </w:r>
      <w:r w:rsidR="008A4B42">
        <w:rPr>
          <w:rFonts w:asciiTheme="minorHAnsi" w:eastAsia="Times New Roman" w:hAnsiTheme="minorHAnsi" w:cstheme="minorHAnsi"/>
          <w:sz w:val="23"/>
          <w:szCs w:val="23"/>
        </w:rPr>
        <w:t>,</w:t>
      </w:r>
      <w:r>
        <w:rPr>
          <w:rFonts w:asciiTheme="minorHAnsi" w:eastAsia="Times New Roman" w:hAnsiTheme="minorHAnsi" w:cstheme="minorHAnsi"/>
          <w:sz w:val="23"/>
          <w:szCs w:val="23"/>
        </w:rPr>
        <w:t xml:space="preserve"> and if necessary, amend language to modernize the program</w:t>
      </w:r>
    </w:p>
    <w:p w14:paraId="66BD79FC" w14:textId="77777777" w:rsidR="00BC722D" w:rsidRPr="00644726" w:rsidRDefault="00BC722D" w:rsidP="00BC722D">
      <w:pPr>
        <w:pStyle w:val="ListParagraph"/>
        <w:numPr>
          <w:ilvl w:val="2"/>
          <w:numId w:val="4"/>
        </w:numPr>
        <w:rPr>
          <w:rFonts w:asciiTheme="minorHAnsi" w:eastAsia="Times New Roman" w:hAnsiTheme="minorHAnsi" w:cstheme="minorHAnsi"/>
          <w:sz w:val="23"/>
          <w:szCs w:val="23"/>
        </w:rPr>
      </w:pPr>
      <w:r>
        <w:rPr>
          <w:rFonts w:asciiTheme="minorHAnsi" w:eastAsia="Times New Roman" w:hAnsiTheme="minorHAnsi" w:cstheme="minorHAnsi"/>
          <w:sz w:val="23"/>
          <w:szCs w:val="23"/>
        </w:rPr>
        <w:t>Include language that meets current service delivery models:  digital technology and volunteer recruitment</w:t>
      </w:r>
    </w:p>
    <w:p w14:paraId="0DFD9FCD" w14:textId="1B640359" w:rsidR="00BC722D" w:rsidRPr="00D3039B" w:rsidRDefault="00BC722D" w:rsidP="00BC722D">
      <w:pPr>
        <w:pStyle w:val="ListParagraph"/>
        <w:numPr>
          <w:ilvl w:val="2"/>
          <w:numId w:val="4"/>
        </w:numPr>
        <w:rPr>
          <w:rFonts w:asciiTheme="minorHAnsi" w:eastAsia="Times New Roman" w:hAnsiTheme="minorHAnsi" w:cstheme="minorHAnsi"/>
          <w:sz w:val="23"/>
          <w:szCs w:val="23"/>
        </w:rPr>
      </w:pPr>
      <w:r w:rsidRPr="00D3039B">
        <w:rPr>
          <w:rFonts w:asciiTheme="minorHAnsi" w:eastAsia="Times New Roman" w:hAnsiTheme="minorHAnsi" w:cstheme="minorHAnsi"/>
          <w:sz w:val="23"/>
          <w:szCs w:val="23"/>
        </w:rPr>
        <w:t>Systemic Cha</w:t>
      </w:r>
      <w:r w:rsidR="008A4B42">
        <w:rPr>
          <w:rFonts w:asciiTheme="minorHAnsi" w:eastAsia="Times New Roman" w:hAnsiTheme="minorHAnsi" w:cstheme="minorHAnsi"/>
          <w:sz w:val="23"/>
          <w:szCs w:val="23"/>
        </w:rPr>
        <w:t>nge: looking forward,</w:t>
      </w:r>
      <w:r w:rsidRPr="00D3039B">
        <w:rPr>
          <w:rFonts w:asciiTheme="minorHAnsi" w:eastAsia="Times New Roman" w:hAnsiTheme="minorHAnsi" w:cstheme="minorHAnsi"/>
          <w:sz w:val="23"/>
          <w:szCs w:val="23"/>
        </w:rPr>
        <w:t xml:space="preserve"> language and service delivery model </w:t>
      </w:r>
      <w:r w:rsidR="008A4B42">
        <w:rPr>
          <w:rFonts w:asciiTheme="minorHAnsi" w:eastAsia="Times New Roman" w:hAnsiTheme="minorHAnsi" w:cstheme="minorHAnsi"/>
          <w:sz w:val="23"/>
          <w:szCs w:val="23"/>
        </w:rPr>
        <w:t xml:space="preserve">to </w:t>
      </w:r>
      <w:r w:rsidRPr="00D3039B">
        <w:rPr>
          <w:rFonts w:asciiTheme="minorHAnsi" w:eastAsia="Times New Roman" w:hAnsiTheme="minorHAnsi" w:cstheme="minorHAnsi"/>
          <w:sz w:val="23"/>
          <w:szCs w:val="23"/>
        </w:rPr>
        <w:t>be reexamined to ensure it is relevant</w:t>
      </w:r>
    </w:p>
    <w:p w14:paraId="55E83A7D" w14:textId="68609817" w:rsidR="00BC722D" w:rsidRPr="00D3039B" w:rsidRDefault="00BC722D" w:rsidP="00BC722D">
      <w:pPr>
        <w:pStyle w:val="ListParagraph"/>
        <w:numPr>
          <w:ilvl w:val="1"/>
          <w:numId w:val="4"/>
        </w:numPr>
        <w:rPr>
          <w:rFonts w:asciiTheme="minorHAnsi" w:eastAsia="Times New Roman" w:hAnsiTheme="minorHAnsi" w:cstheme="minorHAnsi"/>
          <w:sz w:val="23"/>
          <w:szCs w:val="23"/>
        </w:rPr>
      </w:pPr>
      <w:r w:rsidRPr="00D3039B">
        <w:rPr>
          <w:rFonts w:asciiTheme="minorHAnsi" w:eastAsia="Times New Roman" w:hAnsiTheme="minorHAnsi" w:cstheme="minorHAnsi"/>
          <w:sz w:val="23"/>
          <w:szCs w:val="23"/>
        </w:rPr>
        <w:t xml:space="preserve">Accountability:  </w:t>
      </w:r>
      <w:r>
        <w:rPr>
          <w:rFonts w:asciiTheme="minorHAnsi" w:eastAsia="Times New Roman" w:hAnsiTheme="minorHAnsi" w:cstheme="minorHAnsi"/>
          <w:sz w:val="23"/>
          <w:szCs w:val="23"/>
        </w:rPr>
        <w:t>C4A and OSLTCO to educate and form a plan on realistic accountability measures between th</w:t>
      </w:r>
      <w:r w:rsidR="008A4B42">
        <w:rPr>
          <w:rFonts w:asciiTheme="minorHAnsi" w:eastAsia="Times New Roman" w:hAnsiTheme="minorHAnsi" w:cstheme="minorHAnsi"/>
          <w:sz w:val="23"/>
          <w:szCs w:val="23"/>
        </w:rPr>
        <w:t>e administrator and the program</w:t>
      </w:r>
    </w:p>
    <w:p w14:paraId="49189E08" w14:textId="453B9A84" w:rsidR="00BC722D" w:rsidRDefault="00BC722D" w:rsidP="00BC722D">
      <w:pPr>
        <w:pStyle w:val="ListParagraph"/>
        <w:numPr>
          <w:ilvl w:val="1"/>
          <w:numId w:val="4"/>
        </w:numPr>
        <w:rPr>
          <w:rFonts w:asciiTheme="minorHAnsi" w:eastAsia="Times New Roman" w:hAnsiTheme="minorHAnsi" w:cstheme="minorHAnsi"/>
          <w:sz w:val="23"/>
          <w:szCs w:val="23"/>
        </w:rPr>
      </w:pPr>
      <w:r>
        <w:rPr>
          <w:rFonts w:asciiTheme="minorHAnsi" w:eastAsia="Times New Roman" w:hAnsiTheme="minorHAnsi" w:cstheme="minorHAnsi"/>
          <w:sz w:val="23"/>
          <w:szCs w:val="23"/>
        </w:rPr>
        <w:t>Visibility/Transparency: OSLTCO and C4A work on a plan to increase visibility of the program through PSA</w:t>
      </w:r>
      <w:r w:rsidR="008A4B42">
        <w:rPr>
          <w:rFonts w:asciiTheme="minorHAnsi" w:eastAsia="Times New Roman" w:hAnsiTheme="minorHAnsi" w:cstheme="minorHAnsi"/>
          <w:sz w:val="23"/>
          <w:szCs w:val="23"/>
        </w:rPr>
        <w:t>’</w:t>
      </w:r>
      <w:r>
        <w:rPr>
          <w:rFonts w:asciiTheme="minorHAnsi" w:eastAsia="Times New Roman" w:hAnsiTheme="minorHAnsi" w:cstheme="minorHAnsi"/>
          <w:sz w:val="23"/>
          <w:szCs w:val="23"/>
        </w:rPr>
        <w:t>s and education</w:t>
      </w:r>
    </w:p>
    <w:p w14:paraId="507383D4" w14:textId="77777777" w:rsidR="00BC722D" w:rsidRPr="00D3039B" w:rsidRDefault="00BC722D" w:rsidP="00BC722D">
      <w:pPr>
        <w:pStyle w:val="ListParagraph"/>
        <w:numPr>
          <w:ilvl w:val="1"/>
          <w:numId w:val="4"/>
        </w:numPr>
        <w:rPr>
          <w:rFonts w:asciiTheme="minorHAnsi" w:eastAsia="Times New Roman" w:hAnsiTheme="minorHAnsi" w:cstheme="minorHAnsi"/>
          <w:sz w:val="23"/>
          <w:szCs w:val="23"/>
        </w:rPr>
      </w:pPr>
      <w:r w:rsidRPr="00D3039B">
        <w:rPr>
          <w:rFonts w:asciiTheme="minorHAnsi" w:eastAsia="Times New Roman" w:hAnsiTheme="minorHAnsi" w:cstheme="minorHAnsi"/>
          <w:sz w:val="23"/>
          <w:szCs w:val="23"/>
        </w:rPr>
        <w:t xml:space="preserve">Volunteer Pool:  </w:t>
      </w:r>
      <w:r>
        <w:rPr>
          <w:rFonts w:asciiTheme="minorHAnsi" w:eastAsia="Times New Roman" w:hAnsiTheme="minorHAnsi" w:cstheme="minorHAnsi"/>
          <w:sz w:val="23"/>
          <w:szCs w:val="23"/>
        </w:rPr>
        <w:t>OSLTCO may need to restructure how volunteers are used in the program, increase paid staff</w:t>
      </w:r>
    </w:p>
    <w:p w14:paraId="7A953D92" w14:textId="77777777" w:rsidR="00BC722D" w:rsidRPr="00D3039B" w:rsidRDefault="00BC722D" w:rsidP="00BC722D">
      <w:pPr>
        <w:pStyle w:val="ListParagraph"/>
        <w:numPr>
          <w:ilvl w:val="1"/>
          <w:numId w:val="4"/>
        </w:numPr>
        <w:rPr>
          <w:rFonts w:asciiTheme="minorHAnsi" w:eastAsia="Times New Roman" w:hAnsiTheme="minorHAnsi" w:cstheme="minorHAnsi"/>
          <w:sz w:val="23"/>
          <w:szCs w:val="23"/>
        </w:rPr>
      </w:pPr>
      <w:r>
        <w:rPr>
          <w:rFonts w:asciiTheme="minorHAnsi" w:eastAsia="Times New Roman" w:hAnsiTheme="minorHAnsi" w:cstheme="minorHAnsi"/>
          <w:sz w:val="23"/>
          <w:szCs w:val="23"/>
        </w:rPr>
        <w:t>Build s</w:t>
      </w:r>
      <w:r w:rsidRPr="00D3039B">
        <w:rPr>
          <w:rFonts w:asciiTheme="minorHAnsi" w:eastAsia="Times New Roman" w:hAnsiTheme="minorHAnsi" w:cstheme="minorHAnsi"/>
          <w:sz w:val="23"/>
          <w:szCs w:val="23"/>
        </w:rPr>
        <w:t>tronger relationships with State Organizations and equivalent at Federal level i.e. ACL with CMMS</w:t>
      </w:r>
    </w:p>
    <w:p w14:paraId="47743FAE" w14:textId="0F12EED5" w:rsidR="00B27891" w:rsidRPr="00094201" w:rsidRDefault="00094201" w:rsidP="0093313F">
      <w:pPr>
        <w:pStyle w:val="ListParagraph"/>
        <w:numPr>
          <w:ilvl w:val="1"/>
          <w:numId w:val="4"/>
        </w:numPr>
        <w:spacing w:line="360" w:lineRule="auto"/>
        <w:ind w:left="1170" w:hanging="270"/>
        <w:rPr>
          <w:rFonts w:cstheme="minorHAnsi"/>
        </w:rPr>
      </w:pPr>
      <w:r w:rsidRPr="00094201">
        <w:rPr>
          <w:rFonts w:asciiTheme="minorHAnsi" w:eastAsia="Times New Roman" w:hAnsiTheme="minorHAnsi" w:cstheme="minorHAnsi"/>
        </w:rPr>
        <w:t>Association/ Advocacy Partnerships: Build partnerships with associations and advocacy groups that have an existing older adult advocacy platform i.e. CANHR and Justice in Aging)</w:t>
      </w:r>
    </w:p>
    <w:sectPr w:rsidR="00B27891" w:rsidRPr="00094201">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35094" w14:textId="77777777" w:rsidR="000A093E" w:rsidRDefault="000A093E" w:rsidP="0095415E">
      <w:pPr>
        <w:spacing w:after="0" w:line="240" w:lineRule="auto"/>
      </w:pPr>
      <w:r>
        <w:separator/>
      </w:r>
    </w:p>
  </w:endnote>
  <w:endnote w:type="continuationSeparator" w:id="0">
    <w:p w14:paraId="1593A0DE" w14:textId="77777777" w:rsidR="000A093E" w:rsidRDefault="000A093E" w:rsidP="0095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82114"/>
      <w:docPartObj>
        <w:docPartGallery w:val="Page Numbers (Bottom of Page)"/>
        <w:docPartUnique/>
      </w:docPartObj>
    </w:sdtPr>
    <w:sdtEndPr>
      <w:rPr>
        <w:noProof/>
      </w:rPr>
    </w:sdtEndPr>
    <w:sdtContent>
      <w:p w14:paraId="25B1EAB4" w14:textId="6940F664" w:rsidR="0095415E" w:rsidRDefault="0095415E">
        <w:pPr>
          <w:pStyle w:val="Footer"/>
          <w:jc w:val="right"/>
        </w:pPr>
        <w:r>
          <w:fldChar w:fldCharType="begin"/>
        </w:r>
        <w:r>
          <w:instrText xml:space="preserve"> PAGE   \* MERGEFORMAT </w:instrText>
        </w:r>
        <w:r>
          <w:fldChar w:fldCharType="separate"/>
        </w:r>
        <w:r w:rsidR="00EB6551">
          <w:rPr>
            <w:noProof/>
          </w:rPr>
          <w:t>1</w:t>
        </w:r>
        <w:r>
          <w:rPr>
            <w:noProof/>
          </w:rPr>
          <w:fldChar w:fldCharType="end"/>
        </w:r>
      </w:p>
    </w:sdtContent>
  </w:sdt>
  <w:p w14:paraId="2752684B" w14:textId="77777777" w:rsidR="0095415E" w:rsidRDefault="00954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83F31" w14:textId="77777777" w:rsidR="000A093E" w:rsidRDefault="000A093E" w:rsidP="0095415E">
      <w:pPr>
        <w:spacing w:after="0" w:line="240" w:lineRule="auto"/>
      </w:pPr>
      <w:r>
        <w:separator/>
      </w:r>
    </w:p>
  </w:footnote>
  <w:footnote w:type="continuationSeparator" w:id="0">
    <w:p w14:paraId="4C9E0AAC" w14:textId="77777777" w:rsidR="000A093E" w:rsidRDefault="000A093E" w:rsidP="00954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57430" w14:textId="17B4866A" w:rsidR="0095415E" w:rsidRDefault="0095415E">
    <w:pPr>
      <w:pStyle w:val="Header"/>
    </w:pPr>
    <w:r>
      <w:rPr>
        <w:noProof/>
      </w:rPr>
      <mc:AlternateContent>
        <mc:Choice Requires="wps">
          <w:drawing>
            <wp:anchor distT="0" distB="0" distL="118745" distR="118745" simplePos="0" relativeHeight="251659264" behindDoc="1" locked="0" layoutInCell="1" allowOverlap="0" wp14:anchorId="77876946" wp14:editId="1201995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146D0" w14:textId="23E0A727" w:rsidR="0095415E" w:rsidRDefault="000A093E">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094201">
                                <w:rPr>
                                  <w:caps/>
                                  <w:color w:val="FFFFFF" w:themeColor="background1"/>
                                </w:rPr>
                                <w:t>Long term care Ombudsman</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7876946"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51B146D0" w14:textId="23E0A727" w:rsidR="0095415E" w:rsidRDefault="006622CA">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094201">
                          <w:rPr>
                            <w:caps/>
                            <w:color w:val="FFFFFF" w:themeColor="background1"/>
                          </w:rPr>
                          <w:t>Long term care Ombudsman</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49D"/>
    <w:multiLevelType w:val="hybridMultilevel"/>
    <w:tmpl w:val="73A02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C87E9D"/>
    <w:multiLevelType w:val="hybridMultilevel"/>
    <w:tmpl w:val="39C6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E0408"/>
    <w:multiLevelType w:val="hybridMultilevel"/>
    <w:tmpl w:val="C7F21E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3B16D0"/>
    <w:multiLevelType w:val="hybridMultilevel"/>
    <w:tmpl w:val="C8D4280C"/>
    <w:lvl w:ilvl="0" w:tplc="0409000F">
      <w:start w:val="1"/>
      <w:numFmt w:val="decimal"/>
      <w:lvlText w:val="%1."/>
      <w:lvlJc w:val="left"/>
      <w:pPr>
        <w:ind w:left="720" w:hanging="360"/>
      </w:pPr>
    </w:lvl>
    <w:lvl w:ilvl="1" w:tplc="B70CCDF8">
      <w:start w:val="1"/>
      <w:numFmt w:val="decimal"/>
      <w:lvlText w:val="%2."/>
      <w:lvlJc w:val="left"/>
      <w:pPr>
        <w:ind w:left="135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01268"/>
    <w:multiLevelType w:val="hybridMultilevel"/>
    <w:tmpl w:val="9B4AE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78"/>
    <w:rsid w:val="000053E6"/>
    <w:rsid w:val="00054FF1"/>
    <w:rsid w:val="00094201"/>
    <w:rsid w:val="000A093E"/>
    <w:rsid w:val="000A72B4"/>
    <w:rsid w:val="000C3825"/>
    <w:rsid w:val="000C485A"/>
    <w:rsid w:val="000E7F1D"/>
    <w:rsid w:val="00104B3E"/>
    <w:rsid w:val="0018567F"/>
    <w:rsid w:val="001D02A8"/>
    <w:rsid w:val="001D7410"/>
    <w:rsid w:val="00265945"/>
    <w:rsid w:val="00292D8F"/>
    <w:rsid w:val="002D0CC5"/>
    <w:rsid w:val="00363797"/>
    <w:rsid w:val="00364B78"/>
    <w:rsid w:val="003A1152"/>
    <w:rsid w:val="003B7190"/>
    <w:rsid w:val="00405C9B"/>
    <w:rsid w:val="0040615F"/>
    <w:rsid w:val="00426A9F"/>
    <w:rsid w:val="00445863"/>
    <w:rsid w:val="004964F3"/>
    <w:rsid w:val="00565E64"/>
    <w:rsid w:val="005A3D94"/>
    <w:rsid w:val="005F3385"/>
    <w:rsid w:val="006622CA"/>
    <w:rsid w:val="00676070"/>
    <w:rsid w:val="006D68B1"/>
    <w:rsid w:val="00707B69"/>
    <w:rsid w:val="00771C9B"/>
    <w:rsid w:val="007D584E"/>
    <w:rsid w:val="007F1CCF"/>
    <w:rsid w:val="007F7050"/>
    <w:rsid w:val="00811360"/>
    <w:rsid w:val="00831645"/>
    <w:rsid w:val="008A4B42"/>
    <w:rsid w:val="0092132E"/>
    <w:rsid w:val="00925F52"/>
    <w:rsid w:val="009359F0"/>
    <w:rsid w:val="0095415E"/>
    <w:rsid w:val="009B2C48"/>
    <w:rsid w:val="009D231C"/>
    <w:rsid w:val="009E4AFD"/>
    <w:rsid w:val="009F7D98"/>
    <w:rsid w:val="00A02589"/>
    <w:rsid w:val="00A032F6"/>
    <w:rsid w:val="00AC1193"/>
    <w:rsid w:val="00AE3BFF"/>
    <w:rsid w:val="00AF633A"/>
    <w:rsid w:val="00B27891"/>
    <w:rsid w:val="00B63E18"/>
    <w:rsid w:val="00BB79A3"/>
    <w:rsid w:val="00BC722D"/>
    <w:rsid w:val="00BE5A4C"/>
    <w:rsid w:val="00C46A13"/>
    <w:rsid w:val="00C52AB4"/>
    <w:rsid w:val="00C54FE6"/>
    <w:rsid w:val="00CA1952"/>
    <w:rsid w:val="00CE61A6"/>
    <w:rsid w:val="00D26408"/>
    <w:rsid w:val="00D757B4"/>
    <w:rsid w:val="00E118AF"/>
    <w:rsid w:val="00E779C9"/>
    <w:rsid w:val="00E92312"/>
    <w:rsid w:val="00EB6551"/>
    <w:rsid w:val="00EB7503"/>
    <w:rsid w:val="00EE5B9C"/>
    <w:rsid w:val="00EE7BB1"/>
    <w:rsid w:val="00EF7A2F"/>
    <w:rsid w:val="00F12FF4"/>
    <w:rsid w:val="00FE1046"/>
    <w:rsid w:val="00FE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C02B6"/>
  <w15:chartTrackingRefBased/>
  <w15:docId w15:val="{7A654AB2-E6BB-4573-A261-5597E833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B7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C3825"/>
    <w:rPr>
      <w:color w:val="0000FF"/>
      <w:u w:val="single"/>
    </w:rPr>
  </w:style>
  <w:style w:type="paragraph" w:styleId="ListParagraph">
    <w:name w:val="List Paragraph"/>
    <w:basedOn w:val="Normal"/>
    <w:uiPriority w:val="34"/>
    <w:qFormat/>
    <w:rsid w:val="000C3825"/>
    <w:pPr>
      <w:spacing w:after="0" w:line="240" w:lineRule="auto"/>
      <w:ind w:left="720"/>
    </w:pPr>
    <w:rPr>
      <w:rFonts w:ascii="Calibri" w:hAnsi="Calibri" w:cs="Calibri"/>
    </w:rPr>
  </w:style>
  <w:style w:type="paragraph" w:styleId="Caption">
    <w:name w:val="caption"/>
    <w:basedOn w:val="Normal"/>
    <w:next w:val="Normal"/>
    <w:uiPriority w:val="35"/>
    <w:unhideWhenUsed/>
    <w:qFormat/>
    <w:rsid w:val="00FE1046"/>
    <w:pPr>
      <w:spacing w:after="200" w:line="240" w:lineRule="auto"/>
    </w:pPr>
    <w:rPr>
      <w:i/>
      <w:iCs/>
      <w:color w:val="44546A" w:themeColor="text2"/>
      <w:sz w:val="18"/>
      <w:szCs w:val="18"/>
    </w:rPr>
  </w:style>
  <w:style w:type="table" w:styleId="TableGrid">
    <w:name w:val="Table Grid"/>
    <w:basedOn w:val="TableNormal"/>
    <w:uiPriority w:val="39"/>
    <w:rsid w:val="0005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EF7A2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7A2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954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15E"/>
  </w:style>
  <w:style w:type="paragraph" w:styleId="Footer">
    <w:name w:val="footer"/>
    <w:basedOn w:val="Normal"/>
    <w:link w:val="FooterChar"/>
    <w:uiPriority w:val="99"/>
    <w:unhideWhenUsed/>
    <w:rsid w:val="00954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7638">
      <w:bodyDiv w:val="1"/>
      <w:marLeft w:val="0"/>
      <w:marRight w:val="0"/>
      <w:marTop w:val="0"/>
      <w:marBottom w:val="0"/>
      <w:divBdr>
        <w:top w:val="none" w:sz="0" w:space="0" w:color="auto"/>
        <w:left w:val="none" w:sz="0" w:space="0" w:color="auto"/>
        <w:bottom w:val="none" w:sz="0" w:space="0" w:color="auto"/>
        <w:right w:val="none" w:sz="0" w:space="0" w:color="auto"/>
      </w:divBdr>
    </w:div>
    <w:div w:id="1195734510">
      <w:bodyDiv w:val="1"/>
      <w:marLeft w:val="0"/>
      <w:marRight w:val="0"/>
      <w:marTop w:val="0"/>
      <w:marBottom w:val="0"/>
      <w:divBdr>
        <w:top w:val="none" w:sz="0" w:space="0" w:color="auto"/>
        <w:left w:val="none" w:sz="0" w:space="0" w:color="auto"/>
        <w:bottom w:val="none" w:sz="0" w:space="0" w:color="auto"/>
        <w:right w:val="none" w:sz="0" w:space="0" w:color="auto"/>
      </w:divBdr>
    </w:div>
    <w:div w:id="1468473687">
      <w:bodyDiv w:val="1"/>
      <w:marLeft w:val="0"/>
      <w:marRight w:val="0"/>
      <w:marTop w:val="0"/>
      <w:marBottom w:val="0"/>
      <w:divBdr>
        <w:top w:val="none" w:sz="0" w:space="0" w:color="auto"/>
        <w:left w:val="none" w:sz="0" w:space="0" w:color="auto"/>
        <w:bottom w:val="none" w:sz="0" w:space="0" w:color="auto"/>
        <w:right w:val="none" w:sz="0" w:space="0" w:color="auto"/>
      </w:divBdr>
    </w:div>
    <w:div w:id="1661696773">
      <w:bodyDiv w:val="1"/>
      <w:marLeft w:val="0"/>
      <w:marRight w:val="0"/>
      <w:marTop w:val="0"/>
      <w:marBottom w:val="0"/>
      <w:divBdr>
        <w:top w:val="none" w:sz="0" w:space="0" w:color="auto"/>
        <w:left w:val="none" w:sz="0" w:space="0" w:color="auto"/>
        <w:bottom w:val="none" w:sz="0" w:space="0" w:color="auto"/>
        <w:right w:val="none" w:sz="0" w:space="0" w:color="auto"/>
      </w:divBdr>
      <w:divsChild>
        <w:div w:id="316494930">
          <w:marLeft w:val="0"/>
          <w:marRight w:val="0"/>
          <w:marTop w:val="0"/>
          <w:marBottom w:val="0"/>
          <w:divBdr>
            <w:top w:val="none" w:sz="0" w:space="0" w:color="auto"/>
            <w:left w:val="none" w:sz="0" w:space="0" w:color="auto"/>
            <w:bottom w:val="none" w:sz="0" w:space="0" w:color="auto"/>
            <w:right w:val="none" w:sz="0" w:space="0" w:color="auto"/>
          </w:divBdr>
          <w:divsChild>
            <w:div w:id="352611366">
              <w:marLeft w:val="0"/>
              <w:marRight w:val="0"/>
              <w:marTop w:val="0"/>
              <w:marBottom w:val="0"/>
              <w:divBdr>
                <w:top w:val="none" w:sz="0" w:space="0" w:color="auto"/>
                <w:left w:val="none" w:sz="0" w:space="0" w:color="auto"/>
                <w:bottom w:val="none" w:sz="0" w:space="0" w:color="auto"/>
                <w:right w:val="none" w:sz="0" w:space="0" w:color="auto"/>
              </w:divBdr>
              <w:divsChild>
                <w:div w:id="1306660272">
                  <w:marLeft w:val="0"/>
                  <w:marRight w:val="0"/>
                  <w:marTop w:val="0"/>
                  <w:marBottom w:val="0"/>
                  <w:divBdr>
                    <w:top w:val="none" w:sz="0" w:space="0" w:color="auto"/>
                    <w:left w:val="none" w:sz="0" w:space="0" w:color="auto"/>
                    <w:bottom w:val="none" w:sz="0" w:space="0" w:color="auto"/>
                    <w:right w:val="none" w:sz="0" w:space="0" w:color="auto"/>
                  </w:divBdr>
                  <w:divsChild>
                    <w:div w:id="2058042337">
                      <w:marLeft w:val="-225"/>
                      <w:marRight w:val="-225"/>
                      <w:marTop w:val="0"/>
                      <w:marBottom w:val="0"/>
                      <w:divBdr>
                        <w:top w:val="none" w:sz="0" w:space="0" w:color="auto"/>
                        <w:left w:val="none" w:sz="0" w:space="0" w:color="auto"/>
                        <w:bottom w:val="none" w:sz="0" w:space="0" w:color="auto"/>
                        <w:right w:val="none" w:sz="0" w:space="0" w:color="auto"/>
                      </w:divBdr>
                      <w:divsChild>
                        <w:div w:id="1857037114">
                          <w:marLeft w:val="0"/>
                          <w:marRight w:val="0"/>
                          <w:marTop w:val="0"/>
                          <w:marBottom w:val="0"/>
                          <w:divBdr>
                            <w:top w:val="single" w:sz="6" w:space="8" w:color="EEEEEE"/>
                            <w:left w:val="single" w:sz="6" w:space="8" w:color="EEEEEE"/>
                            <w:bottom w:val="single" w:sz="6" w:space="8" w:color="EEEEEE"/>
                            <w:right w:val="single" w:sz="6" w:space="8" w:color="EEEEEE"/>
                          </w:divBdr>
                          <w:divsChild>
                            <w:div w:id="1437481657">
                              <w:marLeft w:val="0"/>
                              <w:marRight w:val="0"/>
                              <w:marTop w:val="0"/>
                              <w:marBottom w:val="0"/>
                              <w:divBdr>
                                <w:top w:val="none" w:sz="0" w:space="0" w:color="auto"/>
                                <w:left w:val="none" w:sz="0" w:space="0" w:color="auto"/>
                                <w:bottom w:val="none" w:sz="0" w:space="0" w:color="auto"/>
                                <w:right w:val="none" w:sz="0" w:space="0" w:color="auto"/>
                              </w:divBdr>
                              <w:divsChild>
                                <w:div w:id="1628199674">
                                  <w:marLeft w:val="0"/>
                                  <w:marRight w:val="0"/>
                                  <w:marTop w:val="0"/>
                                  <w:marBottom w:val="0"/>
                                  <w:divBdr>
                                    <w:top w:val="none" w:sz="0" w:space="0" w:color="auto"/>
                                    <w:left w:val="none" w:sz="0" w:space="0" w:color="auto"/>
                                    <w:bottom w:val="none" w:sz="0" w:space="0" w:color="auto"/>
                                    <w:right w:val="none" w:sz="0" w:space="0" w:color="auto"/>
                                  </w:divBdr>
                                  <w:divsChild>
                                    <w:div w:id="1266578526">
                                      <w:marLeft w:val="0"/>
                                      <w:marRight w:val="0"/>
                                      <w:marTop w:val="0"/>
                                      <w:marBottom w:val="0"/>
                                      <w:divBdr>
                                        <w:top w:val="none" w:sz="0" w:space="0" w:color="auto"/>
                                        <w:left w:val="none" w:sz="0" w:space="0" w:color="auto"/>
                                        <w:bottom w:val="none" w:sz="0" w:space="0" w:color="auto"/>
                                        <w:right w:val="none" w:sz="0" w:space="0" w:color="auto"/>
                                      </w:divBdr>
                                      <w:divsChild>
                                        <w:div w:id="1481847410">
                                          <w:marLeft w:val="3"/>
                                          <w:marRight w:val="7"/>
                                          <w:marTop w:val="240"/>
                                          <w:marBottom w:val="60"/>
                                          <w:divBdr>
                                            <w:top w:val="none" w:sz="0" w:space="0" w:color="auto"/>
                                            <w:left w:val="none" w:sz="0" w:space="0" w:color="auto"/>
                                            <w:bottom w:val="none" w:sz="0" w:space="0" w:color="auto"/>
                                            <w:right w:val="none" w:sz="0" w:space="0" w:color="auto"/>
                                          </w:divBdr>
                                          <w:divsChild>
                                            <w:div w:id="1899974644">
                                              <w:marLeft w:val="0"/>
                                              <w:marRight w:val="0"/>
                                              <w:marTop w:val="0"/>
                                              <w:marBottom w:val="0"/>
                                              <w:divBdr>
                                                <w:top w:val="none" w:sz="0" w:space="0" w:color="auto"/>
                                                <w:left w:val="none" w:sz="0" w:space="0" w:color="auto"/>
                                                <w:bottom w:val="none" w:sz="0" w:space="0" w:color="auto"/>
                                                <w:right w:val="none" w:sz="0" w:space="0" w:color="auto"/>
                                              </w:divBdr>
                                              <w:divsChild>
                                                <w:div w:id="692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228829">
      <w:bodyDiv w:val="1"/>
      <w:marLeft w:val="0"/>
      <w:marRight w:val="0"/>
      <w:marTop w:val="0"/>
      <w:marBottom w:val="0"/>
      <w:divBdr>
        <w:top w:val="none" w:sz="0" w:space="0" w:color="auto"/>
        <w:left w:val="none" w:sz="0" w:space="0" w:color="auto"/>
        <w:bottom w:val="none" w:sz="0" w:space="0" w:color="auto"/>
        <w:right w:val="none" w:sz="0" w:space="0" w:color="auto"/>
      </w:divBdr>
    </w:div>
    <w:div w:id="19693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4150fc75905950869bab5fe7ebc190f4&amp;term_occur=999&amp;term_src=Title:45:Subtitle:B:Chapter:XIII:Subchapter:C:Part:1324:Subpart:A:1324.17" TargetMode="External"/><Relationship Id="rId13" Type="http://schemas.openxmlformats.org/officeDocument/2006/relationships/hyperlink" Target="https://www.law.cornell.edu/definitions/index.php?width=840&amp;height=800&amp;iframe=true&amp;def_id=4150fc75905950869bab5fe7ebc190f4&amp;term_occur=999&amp;term_src=Title:45:Subtitle:B:Chapter:XIII:Subchapter:C:Part:1324:Subpart:A:1324.17" TargetMode="External"/><Relationship Id="rId18" Type="http://schemas.openxmlformats.org/officeDocument/2006/relationships/hyperlink" Target="https://www.law.cornell.edu/definitions/index.php?width=840&amp;height=800&amp;iframe=true&amp;def_id=8490b40f8ddb1b658047bf74d1757b07&amp;term_occur=999&amp;term_src=Title:45:Subtitle:B:Chapter:XIII:Subchapter:C:Part:1324:Subpart:A:1324.1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36d7dafff2dcd7f9c5100872f8f60a4e&amp;term_occur=999&amp;term_src=Title:45:Subtitle:B:Chapter:XIII:Subchapter:C:Part:1324:Subpart:A:1324.17" TargetMode="External"/><Relationship Id="rId17" Type="http://schemas.openxmlformats.org/officeDocument/2006/relationships/hyperlink" Target="https://www.law.cornell.edu/definitions/index.php?width=840&amp;height=800&amp;iframe=true&amp;def_id=36d7dafff2dcd7f9c5100872f8f60a4e&amp;term_occur=999&amp;term_src=Title:45:Subtitle:B:Chapter:XIII:Subchapter:C:Part:1324:Subpart:A:1324.1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5b220de90a8f5192150c93158a178262&amp;term_occur=999&amp;term_src=Title:45:Subtitle:B:Chapter:XIII:Subchapter:C:Part:1324:Subpart:A:1324.17"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5b220de90a8f5192150c93158a178262&amp;term_occur=999&amp;term_src=Title:45:Subtitle:B:Chapter:XIII:Subchapter:C:Part:1324:Subpart:A:1324.17" TargetMode="External"/><Relationship Id="rId24" Type="http://schemas.openxmlformats.org/officeDocument/2006/relationships/hyperlink" Target="https://update.covid19.ca.gov/"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34082fbc5846ee5deb86d1b6bd1d5983&amp;term_occur=999&amp;term_src=Title:45:Subtitle:B:Chapter:XIII:Subchapter:C:Part:1324:Subpart:A:1324.17"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www.law.cornell.edu/definitions/index.php?width=840&amp;height=800&amp;iframe=true&amp;def_id=34082fbc5846ee5deb86d1b6bd1d5983&amp;term_occur=999&amp;term_src=Title:45:Subtitle:B:Chapter:XIII:Subchapter:C:Part:1324:Subpart:A:1324.17" TargetMode="External"/><Relationship Id="rId19" Type="http://schemas.openxmlformats.org/officeDocument/2006/relationships/hyperlink" Target="https://www.law.cornell.edu/definitions/index.php?width=840&amp;height=800&amp;iframe=true&amp;def_id=8490b40f8ddb1b658047bf74d1757b07&amp;term_occur=999&amp;term_src=Title:45:Subtitle:B:Chapter:XIII:Subchapter:C:Part:1324:Subpart:A:1324.13"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4150fc75905950869bab5fe7ebc190f4&amp;term_occur=999&amp;term_src=Title:45:Subtitle:B:Chapter:XIII:Subchapter:C:Part:1324:Subpart:A:1324.17" TargetMode="External"/><Relationship Id="rId14" Type="http://schemas.openxmlformats.org/officeDocument/2006/relationships/hyperlink" Target="https://www.law.cornell.edu/definitions/index.php?width=840&amp;height=800&amp;iframe=true&amp;def_id=4150fc75905950869bab5fe7ebc190f4&amp;term_occur=999&amp;term_src=Title:45:Subtitle:B:Chapter:XIII:Subchapter:C:Part:1324:Subpart:A:1324.17" TargetMode="External"/><Relationship Id="rId22" Type="http://schemas.openxmlformats.org/officeDocument/2006/relationships/hyperlink" Target="https://www.cdph.ca.gov/Programs/CID/DCDC/Pages/COVID-19/SNFsCOVID_19.aspx"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Abuse</a:t>
            </a:r>
            <a:r>
              <a:rPr lang="en-US" baseline="0"/>
              <a:t> Complaints</a:t>
            </a:r>
            <a:endParaRPr lang="en-US"/>
          </a:p>
        </c:rich>
      </c:tx>
      <c:layout>
        <c:manualLayout>
          <c:xMode val="edge"/>
          <c:yMode val="edge"/>
          <c:x val="0.4213945392242636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Complaints</c:v>
                </c:pt>
              </c:strCache>
            </c:strRef>
          </c:tx>
          <c:spPr>
            <a:solidFill>
              <a:schemeClr val="accent1"/>
            </a:solidFill>
            <a:ln>
              <a:noFill/>
            </a:ln>
            <a:effectLst/>
          </c:spPr>
          <c:invertIfNegative val="0"/>
          <c:cat>
            <c:numRef>
              <c:f>Sheet1!$A$2:$A$5</c:f>
              <c:numCache>
                <c:formatCode>mmm\-yy</c:formatCode>
                <c:ptCount val="4"/>
                <c:pt idx="0">
                  <c:v>43862</c:v>
                </c:pt>
                <c:pt idx="1">
                  <c:v>43891</c:v>
                </c:pt>
                <c:pt idx="2">
                  <c:v>43922</c:v>
                </c:pt>
              </c:numCache>
            </c:numRef>
          </c:cat>
          <c:val>
            <c:numRef>
              <c:f>Sheet1!$B$2:$B$5</c:f>
              <c:numCache>
                <c:formatCode>General</c:formatCode>
                <c:ptCount val="4"/>
                <c:pt idx="0">
                  <c:v>757</c:v>
                </c:pt>
                <c:pt idx="1">
                  <c:v>437</c:v>
                </c:pt>
                <c:pt idx="2">
                  <c:v>343</c:v>
                </c:pt>
              </c:numCache>
            </c:numRef>
          </c:val>
          <c:extLst xmlns:c16r2="http://schemas.microsoft.com/office/drawing/2015/06/chart">
            <c:ext xmlns:c16="http://schemas.microsoft.com/office/drawing/2014/chart" uri="{C3380CC4-5D6E-409C-BE32-E72D297353CC}">
              <c16:uniqueId val="{00000000-B734-4813-B828-74D41D8A37F4}"/>
            </c:ext>
          </c:extLst>
        </c:ser>
        <c:dLbls>
          <c:showLegendKey val="0"/>
          <c:showVal val="0"/>
          <c:showCatName val="0"/>
          <c:showSerName val="0"/>
          <c:showPercent val="0"/>
          <c:showBubbleSize val="0"/>
        </c:dLbls>
        <c:gapWidth val="219"/>
        <c:overlap val="-27"/>
        <c:axId val="902453616"/>
        <c:axId val="902454160"/>
      </c:barChart>
      <c:dateAx>
        <c:axId val="90245361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454160"/>
        <c:crosses val="autoZero"/>
        <c:auto val="1"/>
        <c:lblOffset val="100"/>
        <c:baseTimeUnit val="months"/>
      </c:dateAx>
      <c:valAx>
        <c:axId val="90245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245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3D0A-A4B9-44B1-B277-CEA3BDD7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Long term care Ombudsman</vt:lpstr>
    </vt:vector>
  </TitlesOfParts>
  <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 Ombudsman</dc:title>
  <dc:subject/>
  <dc:creator>Stephens-Pierre, Jennifer, SSA</dc:creator>
  <cp:keywords/>
  <dc:description/>
  <cp:lastModifiedBy>Jamie J Sharma</cp:lastModifiedBy>
  <cp:revision>2</cp:revision>
  <dcterms:created xsi:type="dcterms:W3CDTF">2020-09-25T22:46:00Z</dcterms:created>
  <dcterms:modified xsi:type="dcterms:W3CDTF">2020-09-25T22:46:00Z</dcterms:modified>
</cp:coreProperties>
</file>